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322"/>
      </w:tblGrid>
      <w:tr w:rsidR="00CE60D2" w:rsidRPr="00040DC1">
        <w:trPr>
          <w:trHeight w:val="709"/>
        </w:trPr>
        <w:tc>
          <w:tcPr>
            <w:tcW w:w="9322" w:type="dxa"/>
          </w:tcPr>
          <w:p w:rsidR="00674CEB" w:rsidRDefault="009D220E" w:rsidP="005804A2">
            <w:pPr>
              <w:rPr>
                <w:rFonts w:ascii="Arial" w:hAnsi="Arial" w:cs="Arial"/>
                <w:b/>
                <w:szCs w:val="24"/>
              </w:rPr>
            </w:pPr>
            <w:r w:rsidRPr="00040DC1">
              <w:rPr>
                <w:rFonts w:ascii="Arial" w:hAnsi="Arial" w:cs="Arial"/>
                <w:b/>
                <w:szCs w:val="24"/>
              </w:rPr>
              <w:br w:type="page"/>
            </w:r>
            <w:r w:rsidR="00674CEB">
              <w:rPr>
                <w:rFonts w:ascii="Arial" w:hAnsi="Arial" w:cs="Arial"/>
                <w:b/>
              </w:rPr>
              <w:t>AUDIT COMMITTEE</w:t>
            </w:r>
            <w:r w:rsidR="00674CEB">
              <w:rPr>
                <w:rFonts w:ascii="Arial" w:hAnsi="Arial" w:cs="Arial"/>
                <w:b/>
                <w:szCs w:val="24"/>
              </w:rPr>
              <w:t xml:space="preserve"> </w:t>
            </w:r>
          </w:p>
          <w:p w:rsidR="00CE60D2" w:rsidRPr="00040DC1" w:rsidRDefault="004E2627" w:rsidP="004E2627">
            <w:pPr>
              <w:rPr>
                <w:rFonts w:ascii="Arial" w:hAnsi="Arial" w:cs="Arial"/>
                <w:b/>
                <w:szCs w:val="24"/>
              </w:rPr>
            </w:pPr>
            <w:r>
              <w:rPr>
                <w:rFonts w:ascii="Arial" w:hAnsi="Arial" w:cs="Arial"/>
                <w:b/>
                <w:szCs w:val="24"/>
              </w:rPr>
              <w:t>30</w:t>
            </w:r>
            <w:r w:rsidR="0017207D">
              <w:rPr>
                <w:rFonts w:ascii="Arial" w:hAnsi="Arial" w:cs="Arial"/>
                <w:b/>
                <w:szCs w:val="24"/>
              </w:rPr>
              <w:t xml:space="preserve"> </w:t>
            </w:r>
            <w:r w:rsidR="009C5441">
              <w:rPr>
                <w:rFonts w:ascii="Arial" w:hAnsi="Arial" w:cs="Arial"/>
                <w:b/>
                <w:szCs w:val="24"/>
              </w:rPr>
              <w:t xml:space="preserve">JANUARY </w:t>
            </w:r>
            <w:r w:rsidR="0017207D">
              <w:rPr>
                <w:rFonts w:ascii="Arial" w:hAnsi="Arial" w:cs="Arial"/>
                <w:b/>
                <w:szCs w:val="24"/>
              </w:rPr>
              <w:t>201</w:t>
            </w:r>
            <w:r>
              <w:rPr>
                <w:rFonts w:ascii="Arial" w:hAnsi="Arial" w:cs="Arial"/>
                <w:b/>
                <w:szCs w:val="24"/>
              </w:rPr>
              <w:t>9</w:t>
            </w:r>
          </w:p>
        </w:tc>
      </w:tr>
      <w:tr w:rsidR="00CE60D2" w:rsidRPr="00040DC1">
        <w:tc>
          <w:tcPr>
            <w:tcW w:w="9322" w:type="dxa"/>
          </w:tcPr>
          <w:p w:rsidR="00CE60D2" w:rsidRPr="00040DC1" w:rsidRDefault="00CE60D2" w:rsidP="004A2171">
            <w:pPr>
              <w:jc w:val="right"/>
              <w:rPr>
                <w:rFonts w:ascii="Arial" w:hAnsi="Arial" w:cs="Arial"/>
                <w:b/>
                <w:szCs w:val="24"/>
              </w:rPr>
            </w:pPr>
            <w:r w:rsidRPr="00040DC1">
              <w:rPr>
                <w:rFonts w:ascii="Arial" w:hAnsi="Arial" w:cs="Arial"/>
                <w:b/>
                <w:szCs w:val="24"/>
              </w:rPr>
              <w:t xml:space="preserve">ITEM NO.  </w:t>
            </w:r>
            <w:r w:rsidRPr="00040DC1">
              <w:rPr>
                <w:rFonts w:ascii="Arial" w:hAnsi="Arial" w:cs="Arial"/>
                <w:szCs w:val="24"/>
              </w:rPr>
              <w:t>......................</w:t>
            </w:r>
          </w:p>
        </w:tc>
      </w:tr>
    </w:tbl>
    <w:p w:rsidR="00CE60D2" w:rsidRPr="00040DC1" w:rsidRDefault="00CE60D2" w:rsidP="005804A2">
      <w:pPr>
        <w:jc w:val="center"/>
        <w:rPr>
          <w:rFonts w:ascii="Arial" w:hAnsi="Arial" w:cs="Arial"/>
          <w:b/>
          <w:szCs w:val="24"/>
        </w:rPr>
      </w:pPr>
    </w:p>
    <w:p w:rsidR="00CE60D2" w:rsidRPr="00040DC1" w:rsidRDefault="00CE60D2" w:rsidP="005804A2">
      <w:pPr>
        <w:pBdr>
          <w:top w:val="single" w:sz="6" w:space="1" w:color="auto"/>
        </w:pBdr>
        <w:rPr>
          <w:rFonts w:ascii="Arial" w:hAnsi="Arial" w:cs="Arial"/>
          <w:szCs w:val="24"/>
        </w:rPr>
      </w:pPr>
    </w:p>
    <w:p w:rsidR="009A6FD1" w:rsidRPr="009A6FD1" w:rsidRDefault="009A6FD1" w:rsidP="005804A2">
      <w:pPr>
        <w:pStyle w:val="HEAD"/>
        <w:rPr>
          <w:rFonts w:ascii="Arial" w:hAnsi="Arial" w:cs="Arial"/>
        </w:rPr>
      </w:pPr>
      <w:r w:rsidRPr="009A6FD1">
        <w:rPr>
          <w:rFonts w:ascii="Arial" w:hAnsi="Arial" w:cs="Arial"/>
        </w:rPr>
        <w:t>PRUDENTIAL Indicators and TREASURY MANAGEMENT STRATEGY REPORT 201</w:t>
      </w:r>
      <w:r w:rsidR="004E2627">
        <w:rPr>
          <w:rFonts w:ascii="Arial" w:hAnsi="Arial" w:cs="Arial"/>
        </w:rPr>
        <w:t>9</w:t>
      </w:r>
      <w:r w:rsidR="000C1EE0">
        <w:rPr>
          <w:rFonts w:ascii="Arial" w:hAnsi="Arial" w:cs="Arial"/>
        </w:rPr>
        <w:t>/</w:t>
      </w:r>
      <w:r w:rsidR="004E2627">
        <w:rPr>
          <w:rFonts w:ascii="Arial" w:hAnsi="Arial" w:cs="Arial"/>
        </w:rPr>
        <w:t>20</w:t>
      </w:r>
    </w:p>
    <w:p w:rsidR="00CE60D2" w:rsidRPr="00040DC1" w:rsidRDefault="00CE60D2" w:rsidP="005804A2">
      <w:pPr>
        <w:pStyle w:val="HEAD"/>
        <w:rPr>
          <w:rFonts w:ascii="Arial" w:hAnsi="Arial" w:cs="Arial"/>
          <w:szCs w:val="24"/>
        </w:rPr>
      </w:pPr>
    </w:p>
    <w:p w:rsidR="00CE60D2" w:rsidRPr="00040DC1" w:rsidRDefault="00CE60D2" w:rsidP="005804A2">
      <w:pPr>
        <w:pBdr>
          <w:top w:val="single" w:sz="6" w:space="1" w:color="auto"/>
        </w:pBdr>
        <w:rPr>
          <w:rFonts w:ascii="Arial" w:hAnsi="Arial" w:cs="Arial"/>
          <w:szCs w:val="24"/>
        </w:rPr>
      </w:pPr>
    </w:p>
    <w:p w:rsidR="007E71D6" w:rsidRPr="00040DC1" w:rsidRDefault="007E71D6" w:rsidP="005804A2">
      <w:pPr>
        <w:pBdr>
          <w:top w:val="single" w:sz="6" w:space="1" w:color="auto"/>
        </w:pBdr>
        <w:jc w:val="center"/>
        <w:rPr>
          <w:rFonts w:ascii="Arial" w:hAnsi="Arial" w:cs="Arial"/>
          <w:b/>
          <w:szCs w:val="24"/>
        </w:rPr>
      </w:pPr>
      <w:r w:rsidRPr="00040DC1">
        <w:rPr>
          <w:rFonts w:ascii="Arial" w:hAnsi="Arial" w:cs="Arial"/>
          <w:b/>
          <w:szCs w:val="24"/>
        </w:rPr>
        <w:t>SUMMARY REPORT</w:t>
      </w:r>
    </w:p>
    <w:p w:rsidR="007E71D6" w:rsidRPr="00040DC1" w:rsidRDefault="007E71D6" w:rsidP="005804A2">
      <w:pPr>
        <w:pBdr>
          <w:top w:val="single" w:sz="6" w:space="1" w:color="auto"/>
        </w:pBdr>
        <w:rPr>
          <w:rFonts w:ascii="Arial" w:hAnsi="Arial" w:cs="Arial"/>
          <w:szCs w:val="24"/>
        </w:rPr>
      </w:pPr>
    </w:p>
    <w:p w:rsidR="00CE60D2" w:rsidRPr="00040DC1" w:rsidRDefault="00CE60D2" w:rsidP="005804A2">
      <w:pPr>
        <w:pStyle w:val="HEADING"/>
        <w:rPr>
          <w:rFonts w:ascii="Arial" w:hAnsi="Arial" w:cs="Arial"/>
          <w:szCs w:val="24"/>
        </w:rPr>
      </w:pPr>
      <w:r w:rsidRPr="00040DC1">
        <w:rPr>
          <w:rFonts w:ascii="Arial" w:hAnsi="Arial" w:cs="Arial"/>
          <w:szCs w:val="24"/>
        </w:rPr>
        <w:t>Purpose of the Report</w:t>
      </w:r>
      <w:r w:rsidRPr="00040DC1">
        <w:rPr>
          <w:rFonts w:ascii="Arial" w:hAnsi="Arial" w:cs="Arial"/>
          <w:szCs w:val="24"/>
        </w:rPr>
        <w:br/>
      </w:r>
    </w:p>
    <w:p w:rsidR="009A6FD1" w:rsidRPr="005804A2" w:rsidRDefault="009A6FD1" w:rsidP="005804A2">
      <w:pPr>
        <w:numPr>
          <w:ilvl w:val="0"/>
          <w:numId w:val="1"/>
        </w:numPr>
        <w:tabs>
          <w:tab w:val="num" w:pos="0"/>
        </w:tabs>
        <w:rPr>
          <w:rFonts w:ascii="Arial" w:hAnsi="Arial" w:cs="Arial"/>
          <w:bCs/>
        </w:rPr>
      </w:pPr>
      <w:r w:rsidRPr="009A6FD1">
        <w:rPr>
          <w:rFonts w:ascii="Arial" w:hAnsi="Arial" w:cs="Arial"/>
        </w:rPr>
        <w:t>This report requests Audit Committee to review and scrutinise the following prior to forwarding to Cabinet and Council for their approval and adoption :-</w:t>
      </w:r>
      <w:r w:rsidR="005804A2">
        <w:rPr>
          <w:rFonts w:ascii="Arial" w:hAnsi="Arial" w:cs="Arial"/>
        </w:rPr>
        <w:br/>
      </w:r>
    </w:p>
    <w:p w:rsidR="009A6FD1" w:rsidRPr="005804A2" w:rsidRDefault="009A6FD1" w:rsidP="005804A2">
      <w:pPr>
        <w:numPr>
          <w:ilvl w:val="1"/>
          <w:numId w:val="1"/>
        </w:numPr>
        <w:rPr>
          <w:rFonts w:ascii="Arial" w:hAnsi="Arial" w:cs="Arial"/>
          <w:bCs/>
        </w:rPr>
      </w:pPr>
      <w:r w:rsidRPr="005804A2">
        <w:rPr>
          <w:rFonts w:ascii="Arial" w:hAnsi="Arial" w:cs="Arial"/>
        </w:rPr>
        <w:t>The Prudential Indicators and Limits for 201</w:t>
      </w:r>
      <w:r w:rsidR="004A2171">
        <w:rPr>
          <w:rFonts w:ascii="Arial" w:hAnsi="Arial" w:cs="Arial"/>
        </w:rPr>
        <w:t>9</w:t>
      </w:r>
      <w:r w:rsidR="000C1EE0">
        <w:rPr>
          <w:rFonts w:ascii="Arial" w:hAnsi="Arial" w:cs="Arial"/>
        </w:rPr>
        <w:t>/</w:t>
      </w:r>
      <w:r w:rsidR="004A2171">
        <w:rPr>
          <w:rFonts w:ascii="Arial" w:hAnsi="Arial" w:cs="Arial"/>
        </w:rPr>
        <w:t>20</w:t>
      </w:r>
      <w:r w:rsidR="000C1EE0">
        <w:rPr>
          <w:rFonts w:ascii="Arial" w:hAnsi="Arial" w:cs="Arial"/>
        </w:rPr>
        <w:t xml:space="preserve"> to 202</w:t>
      </w:r>
      <w:r w:rsidR="004A2171">
        <w:rPr>
          <w:rFonts w:ascii="Arial" w:hAnsi="Arial" w:cs="Arial"/>
        </w:rPr>
        <w:t>1</w:t>
      </w:r>
      <w:r w:rsidRPr="005804A2">
        <w:rPr>
          <w:rFonts w:ascii="Arial" w:hAnsi="Arial" w:cs="Arial"/>
        </w:rPr>
        <w:t>/</w:t>
      </w:r>
      <w:r w:rsidR="0017207D" w:rsidRPr="005804A2">
        <w:rPr>
          <w:rFonts w:ascii="Arial" w:hAnsi="Arial" w:cs="Arial"/>
        </w:rPr>
        <w:t>2</w:t>
      </w:r>
      <w:r w:rsidR="004A2171">
        <w:rPr>
          <w:rFonts w:ascii="Arial" w:hAnsi="Arial" w:cs="Arial"/>
        </w:rPr>
        <w:t>2</w:t>
      </w:r>
      <w:r w:rsidRPr="005804A2">
        <w:rPr>
          <w:rFonts w:ascii="Arial" w:hAnsi="Arial" w:cs="Arial"/>
        </w:rPr>
        <w:t xml:space="preserve"> relating to capital expenditure a</w:t>
      </w:r>
      <w:r w:rsidR="00251B9C" w:rsidRPr="005804A2">
        <w:rPr>
          <w:rFonts w:ascii="Arial" w:hAnsi="Arial" w:cs="Arial"/>
        </w:rPr>
        <w:t>nd Treasury Management activity.</w:t>
      </w:r>
    </w:p>
    <w:p w:rsidR="009A6FD1" w:rsidRPr="009A6FD1" w:rsidRDefault="009A6FD1" w:rsidP="005804A2">
      <w:pPr>
        <w:ind w:left="851" w:hanging="425"/>
        <w:rPr>
          <w:rFonts w:ascii="Arial" w:hAnsi="Arial" w:cs="Arial"/>
          <w:bCs/>
        </w:rPr>
      </w:pPr>
    </w:p>
    <w:p w:rsidR="009A6FD1" w:rsidRPr="009A6FD1" w:rsidRDefault="009A6FD1" w:rsidP="005804A2">
      <w:pPr>
        <w:numPr>
          <w:ilvl w:val="1"/>
          <w:numId w:val="1"/>
        </w:numPr>
        <w:rPr>
          <w:rFonts w:ascii="Arial" w:hAnsi="Arial" w:cs="Arial"/>
          <w:bCs/>
        </w:rPr>
      </w:pPr>
      <w:r w:rsidRPr="009A6FD1">
        <w:rPr>
          <w:rFonts w:ascii="Arial" w:hAnsi="Arial" w:cs="Arial"/>
        </w:rPr>
        <w:t>A policy statement relating t</w:t>
      </w:r>
      <w:r w:rsidR="00251B9C">
        <w:rPr>
          <w:rFonts w:ascii="Arial" w:hAnsi="Arial" w:cs="Arial"/>
        </w:rPr>
        <w:t>o the Minimum Revenue Provision.</w:t>
      </w:r>
    </w:p>
    <w:p w:rsidR="009A6FD1" w:rsidRDefault="009A6FD1" w:rsidP="005804A2">
      <w:pPr>
        <w:ind w:left="851" w:hanging="425"/>
        <w:rPr>
          <w:rFonts w:ascii="Arial" w:hAnsi="Arial" w:cs="Arial"/>
          <w:bCs/>
        </w:rPr>
      </w:pPr>
    </w:p>
    <w:p w:rsidR="009A6FD1" w:rsidRPr="009A6FD1" w:rsidRDefault="009A6FD1" w:rsidP="005804A2">
      <w:pPr>
        <w:numPr>
          <w:ilvl w:val="1"/>
          <w:numId w:val="1"/>
        </w:numPr>
        <w:rPr>
          <w:rFonts w:ascii="Arial" w:hAnsi="Arial" w:cs="Arial"/>
          <w:bCs/>
        </w:rPr>
      </w:pPr>
      <w:r w:rsidRPr="009A6FD1">
        <w:rPr>
          <w:rFonts w:ascii="Arial" w:hAnsi="Arial" w:cs="Arial"/>
        </w:rPr>
        <w:t>The Treasury Management Strategy 20</w:t>
      </w:r>
      <w:r>
        <w:rPr>
          <w:rFonts w:ascii="Arial" w:hAnsi="Arial" w:cs="Arial"/>
        </w:rPr>
        <w:t>1</w:t>
      </w:r>
      <w:r w:rsidR="004A2171">
        <w:rPr>
          <w:rFonts w:ascii="Arial" w:hAnsi="Arial" w:cs="Arial"/>
        </w:rPr>
        <w:t>9</w:t>
      </w:r>
      <w:r w:rsidR="000C1EE0">
        <w:rPr>
          <w:rFonts w:ascii="Arial" w:hAnsi="Arial" w:cs="Arial"/>
        </w:rPr>
        <w:t>/</w:t>
      </w:r>
      <w:r w:rsidR="004A2171">
        <w:rPr>
          <w:rFonts w:ascii="Arial" w:hAnsi="Arial" w:cs="Arial"/>
        </w:rPr>
        <w:t>20</w:t>
      </w:r>
      <w:r w:rsidRPr="009A6FD1">
        <w:rPr>
          <w:rFonts w:ascii="Arial" w:hAnsi="Arial" w:cs="Arial"/>
        </w:rPr>
        <w:t xml:space="preserve">, which includes the </w:t>
      </w:r>
      <w:r w:rsidR="0071096E">
        <w:rPr>
          <w:rFonts w:ascii="Arial" w:hAnsi="Arial" w:cs="Arial"/>
        </w:rPr>
        <w:t xml:space="preserve">Annual </w:t>
      </w:r>
      <w:r w:rsidRPr="009A6FD1">
        <w:rPr>
          <w:rFonts w:ascii="Arial" w:hAnsi="Arial" w:cs="Arial"/>
        </w:rPr>
        <w:t>Investment Strategy for 20</w:t>
      </w:r>
      <w:r>
        <w:rPr>
          <w:rFonts w:ascii="Arial" w:hAnsi="Arial" w:cs="Arial"/>
        </w:rPr>
        <w:t>1</w:t>
      </w:r>
      <w:r w:rsidR="004A2171">
        <w:rPr>
          <w:rFonts w:ascii="Arial" w:hAnsi="Arial" w:cs="Arial"/>
        </w:rPr>
        <w:t>9</w:t>
      </w:r>
      <w:r w:rsidR="000C1EE0">
        <w:rPr>
          <w:rFonts w:ascii="Arial" w:hAnsi="Arial" w:cs="Arial"/>
        </w:rPr>
        <w:t>/</w:t>
      </w:r>
      <w:r w:rsidR="004A2171">
        <w:rPr>
          <w:rFonts w:ascii="Arial" w:hAnsi="Arial" w:cs="Arial"/>
        </w:rPr>
        <w:t>20</w:t>
      </w:r>
    </w:p>
    <w:p w:rsidR="009A6FD1" w:rsidRDefault="009A6FD1" w:rsidP="005804A2">
      <w:pPr>
        <w:rPr>
          <w:rFonts w:ascii="Arial" w:hAnsi="Arial" w:cs="Arial"/>
        </w:rPr>
      </w:pPr>
    </w:p>
    <w:p w:rsidR="009A6FD1" w:rsidRPr="009A6FD1" w:rsidRDefault="009A6FD1" w:rsidP="005804A2">
      <w:pPr>
        <w:numPr>
          <w:ilvl w:val="0"/>
          <w:numId w:val="1"/>
        </w:numPr>
        <w:tabs>
          <w:tab w:val="num" w:pos="0"/>
        </w:tabs>
        <w:rPr>
          <w:rFonts w:ascii="Arial" w:hAnsi="Arial" w:cs="Arial"/>
        </w:rPr>
      </w:pPr>
      <w:r w:rsidRPr="009A6FD1">
        <w:rPr>
          <w:rFonts w:ascii="Arial" w:hAnsi="Arial" w:cs="Arial"/>
        </w:rPr>
        <w:t>The report outlines the Council’s prudential indicators for 201</w:t>
      </w:r>
      <w:r w:rsidR="00A7755F">
        <w:rPr>
          <w:rFonts w:ascii="Arial" w:hAnsi="Arial" w:cs="Arial"/>
        </w:rPr>
        <w:t>9</w:t>
      </w:r>
      <w:r w:rsidR="000C1EE0">
        <w:rPr>
          <w:rFonts w:ascii="Arial" w:hAnsi="Arial" w:cs="Arial"/>
        </w:rPr>
        <w:t>/</w:t>
      </w:r>
      <w:r w:rsidR="00A7755F">
        <w:rPr>
          <w:rFonts w:ascii="Arial" w:hAnsi="Arial" w:cs="Arial"/>
        </w:rPr>
        <w:t>20</w:t>
      </w:r>
      <w:r w:rsidRPr="009A6FD1">
        <w:rPr>
          <w:rFonts w:ascii="Arial" w:hAnsi="Arial" w:cs="Arial"/>
        </w:rPr>
        <w:t xml:space="preserve"> – 20</w:t>
      </w:r>
      <w:r w:rsidR="000C1EE0">
        <w:rPr>
          <w:rFonts w:ascii="Arial" w:hAnsi="Arial" w:cs="Arial"/>
        </w:rPr>
        <w:t>2</w:t>
      </w:r>
      <w:r w:rsidR="00A7755F">
        <w:rPr>
          <w:rFonts w:ascii="Arial" w:hAnsi="Arial" w:cs="Arial"/>
        </w:rPr>
        <w:t>1</w:t>
      </w:r>
      <w:r w:rsidR="000C1EE0">
        <w:rPr>
          <w:rFonts w:ascii="Arial" w:hAnsi="Arial" w:cs="Arial"/>
        </w:rPr>
        <w:t>/2</w:t>
      </w:r>
      <w:r w:rsidR="00A7755F">
        <w:rPr>
          <w:rFonts w:ascii="Arial" w:hAnsi="Arial" w:cs="Arial"/>
        </w:rPr>
        <w:t>2</w:t>
      </w:r>
      <w:r w:rsidR="0017207D">
        <w:rPr>
          <w:rFonts w:ascii="Arial" w:hAnsi="Arial" w:cs="Arial"/>
        </w:rPr>
        <w:t xml:space="preserve"> </w:t>
      </w:r>
      <w:r w:rsidRPr="009A6FD1">
        <w:rPr>
          <w:rFonts w:ascii="Arial" w:hAnsi="Arial" w:cs="Arial"/>
        </w:rPr>
        <w:t>and sets out the expected treasury operations for this period.  It fulfils key legislative and guidance requirements:</w:t>
      </w:r>
    </w:p>
    <w:p w:rsidR="009A6FD1" w:rsidRPr="009A6FD1" w:rsidRDefault="009A6FD1" w:rsidP="005804A2">
      <w:pPr>
        <w:rPr>
          <w:rFonts w:ascii="Arial" w:hAnsi="Arial" w:cs="Arial"/>
        </w:rPr>
      </w:pPr>
    </w:p>
    <w:p w:rsidR="009A6FD1" w:rsidRPr="009A6FD1" w:rsidRDefault="009A6FD1" w:rsidP="005804A2">
      <w:pPr>
        <w:numPr>
          <w:ilvl w:val="1"/>
          <w:numId w:val="1"/>
        </w:numPr>
        <w:rPr>
          <w:rFonts w:ascii="Arial" w:hAnsi="Arial" w:cs="Arial"/>
        </w:rPr>
      </w:pPr>
      <w:r w:rsidRPr="009A6FD1">
        <w:rPr>
          <w:rFonts w:ascii="Arial" w:hAnsi="Arial" w:cs="Arial"/>
        </w:rPr>
        <w:t xml:space="preserve">The reporting of the </w:t>
      </w:r>
      <w:r w:rsidRPr="009A6FD1">
        <w:rPr>
          <w:rFonts w:ascii="Arial" w:hAnsi="Arial" w:cs="Arial"/>
          <w:b/>
        </w:rPr>
        <w:t>prudential indicators</w:t>
      </w:r>
      <w:r w:rsidRPr="009A6FD1">
        <w:rPr>
          <w:rFonts w:ascii="Arial" w:hAnsi="Arial" w:cs="Arial"/>
        </w:rPr>
        <w:t xml:space="preserve"> setting out the expected capital activities</w:t>
      </w:r>
      <w:r w:rsidR="0048346C">
        <w:rPr>
          <w:rFonts w:ascii="Arial" w:hAnsi="Arial" w:cs="Arial"/>
        </w:rPr>
        <w:t xml:space="preserve"> and</w:t>
      </w:r>
      <w:r w:rsidRPr="009A6FD1">
        <w:rPr>
          <w:rFonts w:ascii="Arial" w:hAnsi="Arial" w:cs="Arial"/>
        </w:rPr>
        <w:t xml:space="preserve"> treasury management prudential indicators included as treasury indicators in the CIPFA Treas</w:t>
      </w:r>
      <w:r w:rsidR="00251B9C">
        <w:rPr>
          <w:rFonts w:ascii="Arial" w:hAnsi="Arial" w:cs="Arial"/>
        </w:rPr>
        <w:t>ury Management Code of Practice</w:t>
      </w:r>
    </w:p>
    <w:p w:rsidR="009A6FD1" w:rsidRPr="009A6FD1" w:rsidRDefault="009A6FD1" w:rsidP="005804A2">
      <w:pPr>
        <w:ind w:left="993" w:hanging="567"/>
        <w:rPr>
          <w:rFonts w:ascii="Arial" w:hAnsi="Arial" w:cs="Arial"/>
        </w:rPr>
      </w:pPr>
    </w:p>
    <w:p w:rsidR="009A6FD1" w:rsidRPr="009A6FD1" w:rsidRDefault="009A6FD1" w:rsidP="005804A2">
      <w:pPr>
        <w:numPr>
          <w:ilvl w:val="1"/>
          <w:numId w:val="1"/>
        </w:numPr>
        <w:rPr>
          <w:rFonts w:ascii="Arial" w:hAnsi="Arial" w:cs="Arial"/>
        </w:rPr>
      </w:pPr>
      <w:r w:rsidRPr="009A6FD1">
        <w:rPr>
          <w:rFonts w:ascii="Arial" w:hAnsi="Arial" w:cs="Arial"/>
        </w:rPr>
        <w:t xml:space="preserve">The Council’s </w:t>
      </w:r>
      <w:r w:rsidRPr="009A6FD1">
        <w:rPr>
          <w:rFonts w:ascii="Arial" w:hAnsi="Arial" w:cs="Arial"/>
          <w:b/>
        </w:rPr>
        <w:t>Minimum Revenue Provision (MRP) Policy</w:t>
      </w:r>
      <w:r w:rsidRPr="009A6FD1">
        <w:rPr>
          <w:rFonts w:ascii="Arial" w:hAnsi="Arial" w:cs="Arial"/>
        </w:rPr>
        <w:t>, which sets out how the Council will pay for capital assets through revenue each year</w:t>
      </w:r>
      <w:r w:rsidR="00251B9C">
        <w:rPr>
          <w:rFonts w:ascii="Arial" w:hAnsi="Arial" w:cs="Arial"/>
        </w:rPr>
        <w:t>.</w:t>
      </w:r>
    </w:p>
    <w:p w:rsidR="009A6FD1" w:rsidRPr="009A6FD1" w:rsidRDefault="009A6FD1" w:rsidP="005804A2">
      <w:pPr>
        <w:ind w:left="993" w:hanging="567"/>
        <w:rPr>
          <w:rFonts w:ascii="Arial" w:hAnsi="Arial" w:cs="Arial"/>
        </w:rPr>
      </w:pPr>
    </w:p>
    <w:p w:rsidR="009A6FD1" w:rsidRPr="009A6FD1" w:rsidRDefault="009A6FD1" w:rsidP="005804A2">
      <w:pPr>
        <w:numPr>
          <w:ilvl w:val="1"/>
          <w:numId w:val="1"/>
        </w:numPr>
        <w:rPr>
          <w:rFonts w:ascii="Arial" w:hAnsi="Arial" w:cs="Arial"/>
        </w:rPr>
      </w:pPr>
      <w:r w:rsidRPr="009A6FD1">
        <w:rPr>
          <w:rFonts w:ascii="Arial" w:hAnsi="Arial" w:cs="Arial"/>
        </w:rPr>
        <w:t xml:space="preserve">The </w:t>
      </w:r>
      <w:r w:rsidRPr="009A6FD1">
        <w:rPr>
          <w:rFonts w:ascii="Arial" w:hAnsi="Arial" w:cs="Arial"/>
          <w:b/>
        </w:rPr>
        <w:t xml:space="preserve">treasury management strategy </w:t>
      </w:r>
      <w:r w:rsidRPr="009A6FD1">
        <w:rPr>
          <w:rFonts w:ascii="Arial" w:hAnsi="Arial" w:cs="Arial"/>
        </w:rPr>
        <w:t>statement which sets out how the Council’s treasury service will support capital decisions taken above, the day to day treasury management and the limitations on activity through treasury prudential indicators</w:t>
      </w:r>
      <w:r w:rsidR="00251B9C">
        <w:rPr>
          <w:rFonts w:ascii="Arial" w:hAnsi="Arial" w:cs="Arial"/>
        </w:rPr>
        <w:t>.</w:t>
      </w:r>
    </w:p>
    <w:p w:rsidR="009A6FD1" w:rsidRPr="009A6FD1" w:rsidRDefault="009A6FD1" w:rsidP="005804A2">
      <w:pPr>
        <w:ind w:left="993" w:hanging="567"/>
        <w:rPr>
          <w:rFonts w:ascii="Arial" w:hAnsi="Arial" w:cs="Arial"/>
        </w:rPr>
      </w:pPr>
    </w:p>
    <w:p w:rsidR="009A6FD1" w:rsidRPr="009A6FD1" w:rsidRDefault="009A6FD1" w:rsidP="005804A2">
      <w:pPr>
        <w:numPr>
          <w:ilvl w:val="1"/>
          <w:numId w:val="1"/>
        </w:numPr>
        <w:rPr>
          <w:rFonts w:ascii="Arial" w:hAnsi="Arial" w:cs="Arial"/>
        </w:rPr>
      </w:pPr>
      <w:r w:rsidRPr="009A6FD1">
        <w:rPr>
          <w:rFonts w:ascii="Arial" w:hAnsi="Arial" w:cs="Arial"/>
        </w:rPr>
        <w:t xml:space="preserve">The key indicator is the </w:t>
      </w:r>
      <w:r w:rsidRPr="009A6FD1">
        <w:rPr>
          <w:rFonts w:ascii="Arial" w:hAnsi="Arial" w:cs="Arial"/>
          <w:b/>
        </w:rPr>
        <w:t>authorised limit</w:t>
      </w:r>
      <w:r w:rsidRPr="009A6FD1">
        <w:rPr>
          <w:rFonts w:ascii="Arial" w:hAnsi="Arial" w:cs="Arial"/>
        </w:rPr>
        <w:t xml:space="preserve">, the maximum amount of debt the </w:t>
      </w:r>
      <w:r w:rsidR="007B2E44">
        <w:rPr>
          <w:rFonts w:ascii="Arial" w:hAnsi="Arial" w:cs="Arial"/>
        </w:rPr>
        <w:t xml:space="preserve">Council </w:t>
      </w:r>
      <w:r w:rsidRPr="009A6FD1">
        <w:rPr>
          <w:rFonts w:ascii="Arial" w:hAnsi="Arial" w:cs="Arial"/>
        </w:rPr>
        <w:t>could afford in the short term, but which is not sustainable in the longer term</w:t>
      </w:r>
      <w:r w:rsidR="00251B9C">
        <w:rPr>
          <w:rFonts w:ascii="Arial" w:hAnsi="Arial" w:cs="Arial"/>
        </w:rPr>
        <w:t>.</w:t>
      </w:r>
    </w:p>
    <w:p w:rsidR="009A6FD1" w:rsidRPr="009A6FD1" w:rsidRDefault="009A6FD1" w:rsidP="005804A2">
      <w:pPr>
        <w:ind w:left="993" w:hanging="567"/>
        <w:rPr>
          <w:rFonts w:ascii="Arial" w:hAnsi="Arial" w:cs="Arial"/>
        </w:rPr>
      </w:pPr>
    </w:p>
    <w:p w:rsidR="009A6FD1" w:rsidRPr="009A6FD1" w:rsidRDefault="009A6FD1" w:rsidP="005804A2">
      <w:pPr>
        <w:numPr>
          <w:ilvl w:val="1"/>
          <w:numId w:val="1"/>
        </w:numPr>
        <w:rPr>
          <w:rFonts w:ascii="Arial" w:hAnsi="Arial" w:cs="Arial"/>
        </w:rPr>
      </w:pPr>
      <w:r w:rsidRPr="009A6FD1">
        <w:rPr>
          <w:rFonts w:ascii="Arial" w:hAnsi="Arial" w:cs="Arial"/>
        </w:rPr>
        <w:t xml:space="preserve">The </w:t>
      </w:r>
      <w:r w:rsidRPr="009A6FD1">
        <w:rPr>
          <w:rFonts w:ascii="Arial" w:hAnsi="Arial" w:cs="Arial"/>
          <w:b/>
        </w:rPr>
        <w:t>investment strategy</w:t>
      </w:r>
      <w:r w:rsidRPr="009A6FD1">
        <w:rPr>
          <w:rFonts w:ascii="Arial" w:hAnsi="Arial" w:cs="Arial"/>
        </w:rPr>
        <w:t xml:space="preserve"> which sets out the Council’s criteria for choosing the investment counterparties and limiting exposures to the risk of loss.</w:t>
      </w:r>
    </w:p>
    <w:p w:rsidR="009A6FD1" w:rsidRPr="009A6FD1" w:rsidRDefault="009A6FD1" w:rsidP="005804A2">
      <w:pPr>
        <w:rPr>
          <w:rFonts w:ascii="Arial" w:hAnsi="Arial" w:cs="Arial"/>
        </w:rPr>
      </w:pPr>
    </w:p>
    <w:p w:rsidR="009A6FD1" w:rsidRPr="009A6FD1" w:rsidRDefault="009A6FD1" w:rsidP="005804A2">
      <w:pPr>
        <w:numPr>
          <w:ilvl w:val="0"/>
          <w:numId w:val="1"/>
        </w:numPr>
        <w:tabs>
          <w:tab w:val="num" w:pos="0"/>
        </w:tabs>
        <w:rPr>
          <w:rFonts w:ascii="Arial" w:hAnsi="Arial" w:cs="Arial"/>
        </w:rPr>
      </w:pPr>
      <w:r w:rsidRPr="009A6FD1">
        <w:rPr>
          <w:rFonts w:ascii="Arial" w:hAnsi="Arial" w:cs="Arial"/>
        </w:rPr>
        <w:lastRenderedPageBreak/>
        <w:t>The information contain</w:t>
      </w:r>
      <w:r w:rsidR="007B2E44">
        <w:rPr>
          <w:rFonts w:ascii="Arial" w:hAnsi="Arial" w:cs="Arial"/>
        </w:rPr>
        <w:t>ed in the report regarding the C</w:t>
      </w:r>
      <w:r w:rsidRPr="009A6FD1">
        <w:rPr>
          <w:rFonts w:ascii="Arial" w:hAnsi="Arial" w:cs="Arial"/>
        </w:rPr>
        <w:t>ouncils expenditure plans, Treasury Management and Prudential Borrowing activities indicate that they are:-</w:t>
      </w:r>
    </w:p>
    <w:p w:rsidR="009A6FD1" w:rsidRPr="009A6FD1" w:rsidRDefault="009A6FD1" w:rsidP="005804A2">
      <w:pPr>
        <w:rPr>
          <w:rFonts w:ascii="Arial" w:hAnsi="Arial" w:cs="Arial"/>
        </w:rPr>
      </w:pPr>
    </w:p>
    <w:p w:rsidR="009A6FD1" w:rsidRPr="009A6FD1" w:rsidRDefault="009A6FD1" w:rsidP="005804A2">
      <w:pPr>
        <w:numPr>
          <w:ilvl w:val="1"/>
          <w:numId w:val="1"/>
        </w:numPr>
        <w:rPr>
          <w:rFonts w:ascii="Arial" w:hAnsi="Arial" w:cs="Arial"/>
        </w:rPr>
      </w:pPr>
      <w:r w:rsidRPr="009A6FD1">
        <w:rPr>
          <w:rFonts w:ascii="Arial" w:hAnsi="Arial" w:cs="Arial"/>
        </w:rPr>
        <w:t>Within the statutory framework and consistent with the relevant codes of practice.</w:t>
      </w:r>
    </w:p>
    <w:p w:rsidR="009A6FD1" w:rsidRPr="009A6FD1" w:rsidRDefault="009A6FD1" w:rsidP="005804A2">
      <w:pPr>
        <w:ind w:left="1134" w:hanging="708"/>
        <w:rPr>
          <w:rFonts w:ascii="Arial" w:hAnsi="Arial" w:cs="Arial"/>
        </w:rPr>
      </w:pPr>
    </w:p>
    <w:p w:rsidR="009A6FD1" w:rsidRDefault="009A6FD1" w:rsidP="005804A2">
      <w:pPr>
        <w:numPr>
          <w:ilvl w:val="1"/>
          <w:numId w:val="1"/>
        </w:numPr>
        <w:rPr>
          <w:rFonts w:ascii="Arial" w:hAnsi="Arial" w:cs="Arial"/>
        </w:rPr>
      </w:pPr>
      <w:r w:rsidRPr="009A6FD1">
        <w:rPr>
          <w:rFonts w:ascii="Arial" w:hAnsi="Arial" w:cs="Arial"/>
        </w:rPr>
        <w:t>Prudent, affordable and sustainable.</w:t>
      </w:r>
    </w:p>
    <w:p w:rsidR="009A6FD1" w:rsidRDefault="009A6FD1" w:rsidP="005804A2">
      <w:pPr>
        <w:ind w:left="1134" w:hanging="708"/>
        <w:rPr>
          <w:rFonts w:ascii="Arial" w:hAnsi="Arial" w:cs="Arial"/>
        </w:rPr>
      </w:pPr>
    </w:p>
    <w:p w:rsidR="009A6FD1" w:rsidRPr="009A6FD1" w:rsidRDefault="009A6FD1" w:rsidP="005804A2">
      <w:pPr>
        <w:numPr>
          <w:ilvl w:val="1"/>
          <w:numId w:val="1"/>
        </w:numPr>
        <w:rPr>
          <w:rFonts w:ascii="Arial" w:hAnsi="Arial" w:cs="Arial"/>
        </w:rPr>
      </w:pPr>
      <w:r w:rsidRPr="009A6FD1">
        <w:rPr>
          <w:rFonts w:ascii="Arial" w:hAnsi="Arial" w:cs="Arial"/>
        </w:rPr>
        <w:t>An integral part of the Council’s Revenue and Capital Medium Term Financial Plans</w:t>
      </w:r>
      <w:r w:rsidR="00D465D6">
        <w:rPr>
          <w:rFonts w:ascii="Arial" w:hAnsi="Arial" w:cs="Arial"/>
        </w:rPr>
        <w:t>.</w:t>
      </w:r>
    </w:p>
    <w:p w:rsidR="00CE60D2" w:rsidRPr="00040DC1" w:rsidRDefault="00CE60D2" w:rsidP="005804A2">
      <w:pPr>
        <w:rPr>
          <w:rFonts w:ascii="Arial" w:hAnsi="Arial" w:cs="Arial"/>
          <w:szCs w:val="24"/>
        </w:rPr>
      </w:pPr>
    </w:p>
    <w:p w:rsidR="006C1EEE" w:rsidRPr="00242B1F" w:rsidRDefault="00CE60D2" w:rsidP="005804A2">
      <w:pPr>
        <w:pStyle w:val="HEADING"/>
        <w:numPr>
          <w:ilvl w:val="12"/>
          <w:numId w:val="0"/>
        </w:numPr>
      </w:pPr>
      <w:r w:rsidRPr="00040DC1">
        <w:rPr>
          <w:rFonts w:ascii="Arial" w:hAnsi="Arial" w:cs="Arial"/>
          <w:szCs w:val="24"/>
        </w:rPr>
        <w:t>Recommendation</w:t>
      </w:r>
      <w:r w:rsidRPr="00040DC1">
        <w:rPr>
          <w:rFonts w:ascii="Arial" w:hAnsi="Arial" w:cs="Arial"/>
          <w:szCs w:val="24"/>
        </w:rPr>
        <w:br/>
      </w:r>
    </w:p>
    <w:p w:rsidR="006C1EEE" w:rsidRPr="006C1EEE" w:rsidRDefault="006C1EEE" w:rsidP="005804A2">
      <w:pPr>
        <w:numPr>
          <w:ilvl w:val="0"/>
          <w:numId w:val="1"/>
        </w:numPr>
        <w:tabs>
          <w:tab w:val="num" w:pos="0"/>
        </w:tabs>
        <w:rPr>
          <w:rFonts w:ascii="Arial" w:hAnsi="Arial" w:cs="Arial"/>
        </w:rPr>
      </w:pPr>
      <w:r w:rsidRPr="006C1EEE">
        <w:rPr>
          <w:rFonts w:ascii="Arial" w:hAnsi="Arial" w:cs="Arial"/>
        </w:rPr>
        <w:t>It is recommended that the Audit Committee examine the following and pass on any comments to the Council via Cabinet in order that they approve them:-</w:t>
      </w:r>
      <w:r w:rsidRPr="006C1EEE">
        <w:rPr>
          <w:rFonts w:ascii="Arial" w:hAnsi="Arial" w:cs="Arial"/>
        </w:rPr>
        <w:br/>
      </w:r>
    </w:p>
    <w:p w:rsidR="006C1EEE" w:rsidRPr="001D67D2" w:rsidRDefault="006C1EEE" w:rsidP="005804A2">
      <w:pPr>
        <w:numPr>
          <w:ilvl w:val="1"/>
          <w:numId w:val="1"/>
        </w:numPr>
        <w:rPr>
          <w:rFonts w:ascii="Arial" w:hAnsi="Arial" w:cs="Arial"/>
        </w:rPr>
      </w:pPr>
      <w:r w:rsidRPr="006C1EEE">
        <w:rPr>
          <w:rFonts w:ascii="Arial" w:hAnsi="Arial" w:cs="Arial"/>
        </w:rPr>
        <w:t>The Prudential Indicators and limits for 20</w:t>
      </w:r>
      <w:r w:rsidR="00447BE2">
        <w:rPr>
          <w:rFonts w:ascii="Arial" w:hAnsi="Arial" w:cs="Arial"/>
        </w:rPr>
        <w:t>1</w:t>
      </w:r>
      <w:r w:rsidR="00A7755F">
        <w:rPr>
          <w:rFonts w:ascii="Arial" w:hAnsi="Arial" w:cs="Arial"/>
        </w:rPr>
        <w:t>9/20</w:t>
      </w:r>
      <w:r w:rsidR="00D3476E">
        <w:rPr>
          <w:rFonts w:ascii="Arial" w:hAnsi="Arial" w:cs="Arial"/>
        </w:rPr>
        <w:t xml:space="preserve"> </w:t>
      </w:r>
      <w:r w:rsidRPr="006C1EEE">
        <w:rPr>
          <w:rFonts w:ascii="Arial" w:hAnsi="Arial" w:cs="Arial"/>
        </w:rPr>
        <w:t>t</w:t>
      </w:r>
      <w:r w:rsidR="000C1EE0">
        <w:rPr>
          <w:rFonts w:ascii="Arial" w:hAnsi="Arial" w:cs="Arial"/>
        </w:rPr>
        <w:t>o 202</w:t>
      </w:r>
      <w:r w:rsidR="00A7755F">
        <w:rPr>
          <w:rFonts w:ascii="Arial" w:hAnsi="Arial" w:cs="Arial"/>
        </w:rPr>
        <w:t>1</w:t>
      </w:r>
      <w:r w:rsidR="000C1EE0">
        <w:rPr>
          <w:rFonts w:ascii="Arial" w:hAnsi="Arial" w:cs="Arial"/>
        </w:rPr>
        <w:t>/2</w:t>
      </w:r>
      <w:r w:rsidR="00A7755F">
        <w:rPr>
          <w:rFonts w:ascii="Arial" w:hAnsi="Arial" w:cs="Arial"/>
        </w:rPr>
        <w:t>2</w:t>
      </w:r>
      <w:r w:rsidR="000C1EE0">
        <w:rPr>
          <w:rFonts w:ascii="Arial" w:hAnsi="Arial" w:cs="Arial"/>
        </w:rPr>
        <w:t xml:space="preserve"> </w:t>
      </w:r>
      <w:r w:rsidR="00447BE2">
        <w:rPr>
          <w:rFonts w:ascii="Arial" w:hAnsi="Arial" w:cs="Arial"/>
        </w:rPr>
        <w:t xml:space="preserve">summarised in </w:t>
      </w:r>
      <w:r w:rsidR="00447BE2" w:rsidRPr="004576FB">
        <w:rPr>
          <w:rFonts w:ascii="Arial" w:hAnsi="Arial" w:cs="Arial"/>
        </w:rPr>
        <w:t xml:space="preserve">Tables </w:t>
      </w:r>
      <w:r w:rsidR="000E4259" w:rsidRPr="004576FB">
        <w:rPr>
          <w:rFonts w:ascii="Arial" w:hAnsi="Arial" w:cs="Arial"/>
        </w:rPr>
        <w:t xml:space="preserve">1 </w:t>
      </w:r>
      <w:r w:rsidR="00447BE2" w:rsidRPr="004576FB">
        <w:rPr>
          <w:rFonts w:ascii="Arial" w:hAnsi="Arial" w:cs="Arial"/>
        </w:rPr>
        <w:t xml:space="preserve">and </w:t>
      </w:r>
      <w:r w:rsidR="000E4259" w:rsidRPr="004576FB">
        <w:rPr>
          <w:rFonts w:ascii="Arial" w:hAnsi="Arial" w:cs="Arial"/>
        </w:rPr>
        <w:t>2</w:t>
      </w:r>
      <w:r w:rsidR="00251B9C" w:rsidRPr="004576FB">
        <w:rPr>
          <w:rFonts w:ascii="Arial" w:hAnsi="Arial" w:cs="Arial"/>
        </w:rPr>
        <w:t>.</w:t>
      </w:r>
      <w:r w:rsidRPr="001D67D2">
        <w:rPr>
          <w:rFonts w:ascii="Arial" w:hAnsi="Arial" w:cs="Arial"/>
        </w:rPr>
        <w:t xml:space="preserve"> </w:t>
      </w:r>
    </w:p>
    <w:p w:rsidR="006C1EEE" w:rsidRPr="006C1EEE" w:rsidRDefault="006C1EEE" w:rsidP="005804A2">
      <w:pPr>
        <w:ind w:left="1134" w:hanging="708"/>
        <w:rPr>
          <w:rFonts w:ascii="Arial" w:hAnsi="Arial" w:cs="Arial"/>
        </w:rPr>
      </w:pPr>
    </w:p>
    <w:p w:rsidR="006C1EEE" w:rsidRDefault="006C1EEE" w:rsidP="005804A2">
      <w:pPr>
        <w:numPr>
          <w:ilvl w:val="1"/>
          <w:numId w:val="1"/>
        </w:numPr>
        <w:rPr>
          <w:rFonts w:ascii="Arial" w:hAnsi="Arial" w:cs="Arial"/>
        </w:rPr>
      </w:pPr>
      <w:r w:rsidRPr="00BB05E2">
        <w:rPr>
          <w:rFonts w:ascii="Arial" w:hAnsi="Arial" w:cs="Arial"/>
        </w:rPr>
        <w:t xml:space="preserve">The Minimum Revenue Provision (MRP) </w:t>
      </w:r>
      <w:r w:rsidRPr="00AE546D">
        <w:rPr>
          <w:rFonts w:ascii="Arial" w:hAnsi="Arial" w:cs="Arial"/>
        </w:rPr>
        <w:t>stateme</w:t>
      </w:r>
      <w:r w:rsidR="00447BE2" w:rsidRPr="00AE546D">
        <w:rPr>
          <w:rFonts w:ascii="Arial" w:hAnsi="Arial" w:cs="Arial"/>
        </w:rPr>
        <w:t xml:space="preserve">nt </w:t>
      </w:r>
      <w:r w:rsidR="00C378D2" w:rsidRPr="00AE546D">
        <w:rPr>
          <w:rFonts w:ascii="Arial" w:hAnsi="Arial" w:cs="Arial"/>
        </w:rPr>
        <w:t>(paragraph</w:t>
      </w:r>
      <w:r w:rsidR="00AE546D" w:rsidRPr="00AE546D">
        <w:rPr>
          <w:rFonts w:ascii="Arial" w:hAnsi="Arial" w:cs="Arial"/>
        </w:rPr>
        <w:t>s</w:t>
      </w:r>
      <w:r w:rsidR="00C378D2" w:rsidRPr="00AE546D">
        <w:rPr>
          <w:rFonts w:ascii="Arial" w:hAnsi="Arial" w:cs="Arial"/>
        </w:rPr>
        <w:t xml:space="preserve"> </w:t>
      </w:r>
      <w:r w:rsidR="001C07F3" w:rsidRPr="00AE546D">
        <w:rPr>
          <w:rFonts w:ascii="Arial" w:hAnsi="Arial" w:cs="Arial"/>
        </w:rPr>
        <w:t>3</w:t>
      </w:r>
      <w:r w:rsidR="00AE546D" w:rsidRPr="00AE546D">
        <w:rPr>
          <w:rFonts w:ascii="Arial" w:hAnsi="Arial" w:cs="Arial"/>
        </w:rPr>
        <w:t>7 - 41</w:t>
      </w:r>
      <w:r w:rsidR="00C378D2" w:rsidRPr="00AE546D">
        <w:rPr>
          <w:rFonts w:ascii="Arial" w:hAnsi="Arial" w:cs="Arial"/>
        </w:rPr>
        <w:t>).</w:t>
      </w:r>
    </w:p>
    <w:p w:rsidR="00A7760E" w:rsidRPr="00BB05E2" w:rsidRDefault="00A7760E" w:rsidP="005804A2">
      <w:pPr>
        <w:ind w:left="2252"/>
        <w:rPr>
          <w:rFonts w:ascii="Arial" w:hAnsi="Arial" w:cs="Arial"/>
        </w:rPr>
      </w:pPr>
    </w:p>
    <w:p w:rsidR="006C1EEE" w:rsidRPr="001D67D2" w:rsidRDefault="006C1EEE" w:rsidP="005804A2">
      <w:pPr>
        <w:numPr>
          <w:ilvl w:val="1"/>
          <w:numId w:val="1"/>
        </w:numPr>
        <w:rPr>
          <w:rFonts w:ascii="Arial" w:hAnsi="Arial" w:cs="Arial"/>
        </w:rPr>
      </w:pPr>
      <w:r w:rsidRPr="001D67D2">
        <w:rPr>
          <w:rFonts w:ascii="Arial" w:hAnsi="Arial" w:cs="Arial"/>
        </w:rPr>
        <w:t xml:space="preserve">The Treasury </w:t>
      </w:r>
      <w:r w:rsidRPr="00DF34D4">
        <w:rPr>
          <w:rFonts w:ascii="Arial" w:hAnsi="Arial" w:cs="Arial"/>
        </w:rPr>
        <w:t>Management Strategy 201</w:t>
      </w:r>
      <w:r w:rsidR="00A7755F" w:rsidRPr="00DF34D4">
        <w:rPr>
          <w:rFonts w:ascii="Arial" w:hAnsi="Arial" w:cs="Arial"/>
        </w:rPr>
        <w:t>9</w:t>
      </w:r>
      <w:r w:rsidR="000C1EE0" w:rsidRPr="00DF34D4">
        <w:rPr>
          <w:rFonts w:ascii="Arial" w:hAnsi="Arial" w:cs="Arial"/>
        </w:rPr>
        <w:t>/</w:t>
      </w:r>
      <w:r w:rsidR="00A7755F" w:rsidRPr="00DF34D4">
        <w:rPr>
          <w:rFonts w:ascii="Arial" w:hAnsi="Arial" w:cs="Arial"/>
        </w:rPr>
        <w:t>20</w:t>
      </w:r>
      <w:r w:rsidR="000C1EE0" w:rsidRPr="00DF34D4">
        <w:rPr>
          <w:rFonts w:ascii="Arial" w:hAnsi="Arial" w:cs="Arial"/>
        </w:rPr>
        <w:t xml:space="preserve"> to 202</w:t>
      </w:r>
      <w:r w:rsidR="00A7755F" w:rsidRPr="00DF34D4">
        <w:rPr>
          <w:rFonts w:ascii="Arial" w:hAnsi="Arial" w:cs="Arial"/>
        </w:rPr>
        <w:t>1</w:t>
      </w:r>
      <w:r w:rsidR="000C1EE0" w:rsidRPr="00DF34D4">
        <w:rPr>
          <w:rFonts w:ascii="Arial" w:hAnsi="Arial" w:cs="Arial"/>
        </w:rPr>
        <w:t>/2</w:t>
      </w:r>
      <w:r w:rsidR="00A7755F" w:rsidRPr="00DF34D4">
        <w:rPr>
          <w:rFonts w:ascii="Arial" w:hAnsi="Arial" w:cs="Arial"/>
        </w:rPr>
        <w:t>2</w:t>
      </w:r>
      <w:r w:rsidRPr="00DF34D4">
        <w:rPr>
          <w:rFonts w:ascii="Arial" w:hAnsi="Arial" w:cs="Arial"/>
        </w:rPr>
        <w:t xml:space="preserve"> as summarised in paragraphs </w:t>
      </w:r>
      <w:r w:rsidR="00AE546D" w:rsidRPr="00DF34D4">
        <w:rPr>
          <w:rFonts w:ascii="Arial" w:hAnsi="Arial" w:cs="Arial"/>
        </w:rPr>
        <w:t>45</w:t>
      </w:r>
      <w:r w:rsidR="007B2E44" w:rsidRPr="00DF34D4">
        <w:rPr>
          <w:rFonts w:ascii="Arial" w:hAnsi="Arial" w:cs="Arial"/>
        </w:rPr>
        <w:t xml:space="preserve"> </w:t>
      </w:r>
      <w:r w:rsidR="00447BE2" w:rsidRPr="00DF34D4">
        <w:rPr>
          <w:rFonts w:ascii="Arial" w:hAnsi="Arial" w:cs="Arial"/>
        </w:rPr>
        <w:t xml:space="preserve">to </w:t>
      </w:r>
      <w:r w:rsidR="00DF34D4" w:rsidRPr="00DF34D4">
        <w:rPr>
          <w:rFonts w:ascii="Arial" w:hAnsi="Arial" w:cs="Arial"/>
        </w:rPr>
        <w:t>70</w:t>
      </w:r>
      <w:r w:rsidRPr="00DF34D4">
        <w:rPr>
          <w:rFonts w:ascii="Arial" w:hAnsi="Arial" w:cs="Arial"/>
        </w:rPr>
        <w:t>.</w:t>
      </w:r>
    </w:p>
    <w:p w:rsidR="00447BE2" w:rsidRDefault="00447BE2" w:rsidP="005804A2">
      <w:pPr>
        <w:ind w:left="1134" w:hanging="708"/>
        <w:rPr>
          <w:rFonts w:ascii="Arial" w:hAnsi="Arial" w:cs="Arial"/>
        </w:rPr>
      </w:pPr>
    </w:p>
    <w:p w:rsidR="003C4409" w:rsidRPr="00251B9C" w:rsidRDefault="00447BE2" w:rsidP="005804A2">
      <w:pPr>
        <w:numPr>
          <w:ilvl w:val="1"/>
          <w:numId w:val="1"/>
        </w:numPr>
        <w:rPr>
          <w:rFonts w:ascii="Arial" w:hAnsi="Arial" w:cs="Arial"/>
          <w:szCs w:val="24"/>
        </w:rPr>
      </w:pPr>
      <w:r w:rsidRPr="00251B9C">
        <w:rPr>
          <w:rFonts w:ascii="Arial" w:hAnsi="Arial" w:cs="Arial"/>
        </w:rPr>
        <w:t>The Annual Investment Strategy 201</w:t>
      </w:r>
      <w:r w:rsidR="00A7755F">
        <w:rPr>
          <w:rFonts w:ascii="Arial" w:hAnsi="Arial" w:cs="Arial"/>
        </w:rPr>
        <w:t>9</w:t>
      </w:r>
      <w:r w:rsidR="000C1EE0">
        <w:rPr>
          <w:rFonts w:ascii="Arial" w:hAnsi="Arial" w:cs="Arial"/>
        </w:rPr>
        <w:t>/</w:t>
      </w:r>
      <w:r w:rsidR="00A7755F">
        <w:rPr>
          <w:rFonts w:ascii="Arial" w:hAnsi="Arial" w:cs="Arial"/>
        </w:rPr>
        <w:t>20</w:t>
      </w:r>
      <w:r w:rsidR="001D67D2">
        <w:rPr>
          <w:rFonts w:ascii="Arial" w:hAnsi="Arial" w:cs="Arial"/>
        </w:rPr>
        <w:t xml:space="preserve"> </w:t>
      </w:r>
      <w:r w:rsidRPr="00251B9C">
        <w:rPr>
          <w:rFonts w:ascii="Arial" w:hAnsi="Arial" w:cs="Arial"/>
        </w:rPr>
        <w:t xml:space="preserve">contained in paragraphs </w:t>
      </w:r>
      <w:r w:rsidR="00AE546D" w:rsidRPr="00DF34D4">
        <w:rPr>
          <w:rFonts w:ascii="Arial" w:hAnsi="Arial" w:cs="Arial"/>
        </w:rPr>
        <w:t>71</w:t>
      </w:r>
      <w:r w:rsidR="00E525AF" w:rsidRPr="00DF34D4">
        <w:rPr>
          <w:rFonts w:ascii="Arial" w:hAnsi="Arial" w:cs="Arial"/>
        </w:rPr>
        <w:t xml:space="preserve"> t</w:t>
      </w:r>
      <w:r w:rsidRPr="00DF34D4">
        <w:rPr>
          <w:rFonts w:ascii="Arial" w:hAnsi="Arial" w:cs="Arial"/>
        </w:rPr>
        <w:t xml:space="preserve">o </w:t>
      </w:r>
      <w:r w:rsidR="00DF34D4" w:rsidRPr="00DF34D4">
        <w:rPr>
          <w:rFonts w:ascii="Arial" w:hAnsi="Arial" w:cs="Arial"/>
        </w:rPr>
        <w:t>112</w:t>
      </w:r>
      <w:r w:rsidR="00D3476E" w:rsidRPr="00DF34D4">
        <w:rPr>
          <w:rFonts w:ascii="Arial" w:hAnsi="Arial" w:cs="Arial"/>
        </w:rPr>
        <w:t>.</w:t>
      </w:r>
      <w:r w:rsidRPr="00251B9C">
        <w:rPr>
          <w:rFonts w:ascii="Arial" w:hAnsi="Arial" w:cs="Arial"/>
        </w:rPr>
        <w:br/>
      </w:r>
      <w:r w:rsidR="00C17B9B" w:rsidRPr="00251B9C">
        <w:rPr>
          <w:rFonts w:ascii="Arial" w:hAnsi="Arial" w:cs="Arial"/>
          <w:szCs w:val="24"/>
        </w:rPr>
        <w:fldChar w:fldCharType="begin"/>
      </w:r>
      <w:r w:rsidR="00C17B9B" w:rsidRPr="00251B9C">
        <w:rPr>
          <w:rFonts w:ascii="Arial" w:hAnsi="Arial" w:cs="Arial"/>
          <w:szCs w:val="24"/>
        </w:rPr>
        <w:instrText xml:space="preserve"> </w:instrText>
      </w:r>
      <w:r w:rsidR="00C17B9B" w:rsidRPr="00251B9C">
        <w:rPr>
          <w:rFonts w:ascii="Arial" w:hAnsi="Arial" w:cs="Arial"/>
          <w:szCs w:val="24"/>
        </w:rPr>
        <w:fldChar w:fldCharType="end"/>
      </w:r>
    </w:p>
    <w:p w:rsidR="00CE60D2" w:rsidRPr="00040DC1" w:rsidRDefault="00CE60D2" w:rsidP="005804A2">
      <w:pPr>
        <w:numPr>
          <w:ilvl w:val="12"/>
          <w:numId w:val="0"/>
        </w:numPr>
        <w:rPr>
          <w:rFonts w:ascii="Arial" w:hAnsi="Arial" w:cs="Arial"/>
          <w:szCs w:val="24"/>
        </w:rPr>
      </w:pPr>
      <w:r w:rsidRPr="00040DC1">
        <w:rPr>
          <w:rFonts w:ascii="Arial" w:hAnsi="Arial" w:cs="Arial"/>
          <w:b/>
          <w:szCs w:val="24"/>
        </w:rPr>
        <w:t>Reasons</w:t>
      </w:r>
      <w:r w:rsidRPr="00040DC1">
        <w:rPr>
          <w:rFonts w:ascii="Arial" w:hAnsi="Arial" w:cs="Arial"/>
          <w:b/>
          <w:szCs w:val="24"/>
        </w:rPr>
        <w:br/>
      </w:r>
    </w:p>
    <w:p w:rsidR="00447BE2" w:rsidRPr="00447BE2" w:rsidRDefault="00447BE2" w:rsidP="005804A2">
      <w:pPr>
        <w:numPr>
          <w:ilvl w:val="0"/>
          <w:numId w:val="1"/>
        </w:numPr>
        <w:tabs>
          <w:tab w:val="num" w:pos="0"/>
        </w:tabs>
        <w:rPr>
          <w:rFonts w:ascii="Arial" w:hAnsi="Arial" w:cs="Arial"/>
        </w:rPr>
      </w:pPr>
      <w:r w:rsidRPr="00447BE2">
        <w:rPr>
          <w:rFonts w:ascii="Arial" w:hAnsi="Arial" w:cs="Arial"/>
        </w:rPr>
        <w:t>The recommendations are supported by the following reasons :-</w:t>
      </w:r>
      <w:r w:rsidRPr="00447BE2">
        <w:rPr>
          <w:rFonts w:ascii="Arial" w:hAnsi="Arial" w:cs="Arial"/>
        </w:rPr>
        <w:br/>
      </w:r>
    </w:p>
    <w:p w:rsidR="00447BE2" w:rsidRPr="00447BE2" w:rsidRDefault="00447BE2" w:rsidP="005804A2">
      <w:pPr>
        <w:numPr>
          <w:ilvl w:val="1"/>
          <w:numId w:val="1"/>
        </w:numPr>
        <w:rPr>
          <w:rFonts w:ascii="Arial" w:hAnsi="Arial" w:cs="Arial"/>
        </w:rPr>
      </w:pPr>
      <w:r w:rsidRPr="00447BE2">
        <w:rPr>
          <w:rFonts w:ascii="Arial" w:hAnsi="Arial" w:cs="Arial"/>
        </w:rPr>
        <w:t>In order to comply with the Prudential Code for Capital Finance in Local Authorities and the Department for Communities and Local Government (CLG) guidance on investments</w:t>
      </w:r>
      <w:r w:rsidR="00251B9C">
        <w:rPr>
          <w:rFonts w:ascii="Arial" w:hAnsi="Arial" w:cs="Arial"/>
        </w:rPr>
        <w:t>.</w:t>
      </w:r>
    </w:p>
    <w:p w:rsidR="00447BE2" w:rsidRPr="00447BE2" w:rsidRDefault="00447BE2" w:rsidP="005804A2">
      <w:pPr>
        <w:ind w:left="1134" w:hanging="708"/>
        <w:rPr>
          <w:rFonts w:ascii="Arial" w:hAnsi="Arial" w:cs="Arial"/>
        </w:rPr>
      </w:pPr>
    </w:p>
    <w:p w:rsidR="00447BE2" w:rsidRPr="00447BE2" w:rsidRDefault="00447BE2" w:rsidP="005804A2">
      <w:pPr>
        <w:numPr>
          <w:ilvl w:val="1"/>
          <w:numId w:val="1"/>
        </w:numPr>
        <w:rPr>
          <w:rFonts w:ascii="Arial" w:hAnsi="Arial" w:cs="Arial"/>
        </w:rPr>
      </w:pPr>
      <w:r w:rsidRPr="00447BE2">
        <w:rPr>
          <w:rFonts w:ascii="Arial" w:hAnsi="Arial" w:cs="Arial"/>
        </w:rPr>
        <w:t>To comply with the requirements of the Local Government Act 2003</w:t>
      </w:r>
      <w:r w:rsidR="00251B9C">
        <w:rPr>
          <w:rFonts w:ascii="Arial" w:hAnsi="Arial" w:cs="Arial"/>
        </w:rPr>
        <w:t>.</w:t>
      </w:r>
    </w:p>
    <w:p w:rsidR="00447BE2" w:rsidRPr="00447BE2" w:rsidRDefault="00447BE2" w:rsidP="005804A2">
      <w:pPr>
        <w:ind w:left="1134" w:hanging="708"/>
        <w:rPr>
          <w:rFonts w:ascii="Arial" w:hAnsi="Arial" w:cs="Arial"/>
        </w:rPr>
      </w:pPr>
    </w:p>
    <w:p w:rsidR="00447BE2" w:rsidRPr="00447BE2" w:rsidRDefault="00447BE2" w:rsidP="005804A2">
      <w:pPr>
        <w:numPr>
          <w:ilvl w:val="1"/>
          <w:numId w:val="1"/>
        </w:numPr>
        <w:rPr>
          <w:rFonts w:ascii="Arial" w:hAnsi="Arial" w:cs="Arial"/>
        </w:rPr>
      </w:pPr>
      <w:r w:rsidRPr="00447BE2">
        <w:rPr>
          <w:rFonts w:ascii="Arial" w:hAnsi="Arial" w:cs="Arial"/>
        </w:rPr>
        <w:t>To approve a framework for officers to work within when making investment decisions.</w:t>
      </w:r>
      <w:r w:rsidRPr="00447BE2">
        <w:rPr>
          <w:rFonts w:ascii="Arial" w:hAnsi="Arial" w:cs="Arial"/>
        </w:rPr>
        <w:br/>
      </w:r>
    </w:p>
    <w:p w:rsidR="00447BE2" w:rsidRDefault="00F91CA9" w:rsidP="005804A2">
      <w:pPr>
        <w:jc w:val="center"/>
        <w:rPr>
          <w:rFonts w:ascii="Arial" w:hAnsi="Arial" w:cs="Arial"/>
          <w:b/>
          <w:bCs/>
        </w:rPr>
      </w:pPr>
      <w:r>
        <w:rPr>
          <w:rFonts w:ascii="Arial" w:hAnsi="Arial" w:cs="Arial"/>
          <w:b/>
          <w:bCs/>
        </w:rPr>
        <w:t>Paul Wildsmith</w:t>
      </w:r>
    </w:p>
    <w:p w:rsidR="00F91CA9" w:rsidRPr="00447BE2" w:rsidRDefault="00A7755F" w:rsidP="005804A2">
      <w:pPr>
        <w:jc w:val="center"/>
        <w:rPr>
          <w:rFonts w:ascii="Arial" w:hAnsi="Arial" w:cs="Arial"/>
          <w:b/>
          <w:bCs/>
        </w:rPr>
      </w:pPr>
      <w:r>
        <w:rPr>
          <w:rFonts w:ascii="Arial" w:hAnsi="Arial" w:cs="Arial"/>
          <w:b/>
          <w:bCs/>
        </w:rPr>
        <w:t>Managing Director</w:t>
      </w:r>
      <w:r w:rsidR="00F91CA9">
        <w:rPr>
          <w:rFonts w:ascii="Arial" w:hAnsi="Arial" w:cs="Arial"/>
          <w:b/>
          <w:bCs/>
        </w:rPr>
        <w:t xml:space="preserve"> </w:t>
      </w:r>
    </w:p>
    <w:p w:rsidR="002A52A0" w:rsidRDefault="002A52A0" w:rsidP="005804A2">
      <w:pPr>
        <w:rPr>
          <w:rFonts w:ascii="Arial" w:hAnsi="Arial" w:cs="Arial"/>
          <w:b/>
        </w:rPr>
      </w:pPr>
    </w:p>
    <w:p w:rsidR="00447BE2" w:rsidRPr="00447BE2" w:rsidRDefault="00447BE2" w:rsidP="005804A2">
      <w:pPr>
        <w:rPr>
          <w:rFonts w:ascii="Arial" w:hAnsi="Arial" w:cs="Arial"/>
          <w:b/>
        </w:rPr>
      </w:pPr>
      <w:r w:rsidRPr="00447BE2">
        <w:rPr>
          <w:rFonts w:ascii="Arial" w:hAnsi="Arial" w:cs="Arial"/>
          <w:b/>
        </w:rPr>
        <w:t>Background Papers</w:t>
      </w:r>
    </w:p>
    <w:p w:rsidR="00C03F42" w:rsidRDefault="00447BE2" w:rsidP="00CE3C0B">
      <w:pPr>
        <w:numPr>
          <w:ilvl w:val="0"/>
          <w:numId w:val="14"/>
        </w:numPr>
        <w:rPr>
          <w:rFonts w:ascii="Arial" w:hAnsi="Arial" w:cs="Arial"/>
        </w:rPr>
      </w:pPr>
      <w:r w:rsidRPr="00447BE2">
        <w:rPr>
          <w:rFonts w:ascii="Arial" w:hAnsi="Arial" w:cs="Arial"/>
        </w:rPr>
        <w:t>Annual Statement of Account 20</w:t>
      </w:r>
      <w:r w:rsidR="000C1EE0">
        <w:rPr>
          <w:rFonts w:ascii="Arial" w:hAnsi="Arial" w:cs="Arial"/>
        </w:rPr>
        <w:t>1</w:t>
      </w:r>
      <w:r w:rsidR="00A7755F">
        <w:rPr>
          <w:rFonts w:ascii="Arial" w:hAnsi="Arial" w:cs="Arial"/>
        </w:rPr>
        <w:t>7</w:t>
      </w:r>
      <w:r w:rsidR="000C1EE0">
        <w:rPr>
          <w:rFonts w:ascii="Arial" w:hAnsi="Arial" w:cs="Arial"/>
        </w:rPr>
        <w:t>/1</w:t>
      </w:r>
      <w:r w:rsidR="00A7755F">
        <w:rPr>
          <w:rFonts w:ascii="Arial" w:hAnsi="Arial" w:cs="Arial"/>
        </w:rPr>
        <w:t>8</w:t>
      </w:r>
    </w:p>
    <w:p w:rsidR="00447BE2" w:rsidRDefault="00447BE2" w:rsidP="00CE3C0B">
      <w:pPr>
        <w:numPr>
          <w:ilvl w:val="0"/>
          <w:numId w:val="14"/>
        </w:numPr>
        <w:rPr>
          <w:rFonts w:ascii="Arial" w:hAnsi="Arial" w:cs="Arial"/>
        </w:rPr>
      </w:pPr>
      <w:r w:rsidRPr="00447BE2">
        <w:rPr>
          <w:rFonts w:ascii="Arial" w:hAnsi="Arial" w:cs="Arial"/>
        </w:rPr>
        <w:t>Draft Capital MTFP 201</w:t>
      </w:r>
      <w:r w:rsidR="00A7755F">
        <w:rPr>
          <w:rFonts w:ascii="Arial" w:hAnsi="Arial" w:cs="Arial"/>
        </w:rPr>
        <w:t>9</w:t>
      </w:r>
      <w:r w:rsidR="000C1EE0">
        <w:rPr>
          <w:rFonts w:ascii="Arial" w:hAnsi="Arial" w:cs="Arial"/>
        </w:rPr>
        <w:t>/</w:t>
      </w:r>
      <w:r w:rsidR="00A7755F">
        <w:rPr>
          <w:rFonts w:ascii="Arial" w:hAnsi="Arial" w:cs="Arial"/>
        </w:rPr>
        <w:t>20</w:t>
      </w:r>
      <w:r w:rsidRPr="00447BE2">
        <w:rPr>
          <w:rFonts w:ascii="Arial" w:hAnsi="Arial" w:cs="Arial"/>
        </w:rPr>
        <w:t xml:space="preserve"> to 20</w:t>
      </w:r>
      <w:r w:rsidR="000C1EE0">
        <w:rPr>
          <w:rFonts w:ascii="Arial" w:hAnsi="Arial" w:cs="Arial"/>
        </w:rPr>
        <w:t>2</w:t>
      </w:r>
      <w:r w:rsidR="00BC3DA3">
        <w:rPr>
          <w:rFonts w:ascii="Arial" w:hAnsi="Arial" w:cs="Arial"/>
        </w:rPr>
        <w:t>2</w:t>
      </w:r>
      <w:r w:rsidR="000C1EE0">
        <w:rPr>
          <w:rFonts w:ascii="Arial" w:hAnsi="Arial" w:cs="Arial"/>
        </w:rPr>
        <w:t>/2</w:t>
      </w:r>
      <w:r w:rsidR="00BC3DA3">
        <w:rPr>
          <w:rFonts w:ascii="Arial" w:hAnsi="Arial" w:cs="Arial"/>
        </w:rPr>
        <w:t>3</w:t>
      </w:r>
    </w:p>
    <w:p w:rsidR="00A7760E" w:rsidRPr="00447BE2" w:rsidRDefault="0059779C" w:rsidP="00CE3C0B">
      <w:pPr>
        <w:numPr>
          <w:ilvl w:val="0"/>
          <w:numId w:val="14"/>
        </w:numPr>
        <w:rPr>
          <w:rFonts w:ascii="Arial" w:hAnsi="Arial" w:cs="Arial"/>
        </w:rPr>
      </w:pPr>
      <w:r>
        <w:rPr>
          <w:rFonts w:ascii="Arial" w:hAnsi="Arial" w:cs="Arial"/>
        </w:rPr>
        <w:t>Link Asset Services</w:t>
      </w:r>
      <w:r w:rsidR="00A7760E">
        <w:rPr>
          <w:rFonts w:ascii="Arial" w:hAnsi="Arial" w:cs="Arial"/>
        </w:rPr>
        <w:t xml:space="preserve"> Economic Report Dec 201</w:t>
      </w:r>
      <w:r w:rsidR="00A7755F">
        <w:rPr>
          <w:rFonts w:ascii="Arial" w:hAnsi="Arial" w:cs="Arial"/>
        </w:rPr>
        <w:t>8</w:t>
      </w:r>
    </w:p>
    <w:p w:rsidR="00447BE2" w:rsidRPr="002A52A0" w:rsidRDefault="00447BE2" w:rsidP="005804A2">
      <w:pPr>
        <w:rPr>
          <w:rFonts w:ascii="Arial" w:hAnsi="Arial" w:cs="Arial"/>
          <w:sz w:val="16"/>
          <w:szCs w:val="16"/>
        </w:rPr>
      </w:pPr>
    </w:p>
    <w:p w:rsidR="00447BE2" w:rsidRPr="00040DC1" w:rsidRDefault="00A7755F" w:rsidP="005804A2">
      <w:pPr>
        <w:rPr>
          <w:rFonts w:ascii="Arial" w:hAnsi="Arial" w:cs="Arial"/>
          <w:b/>
          <w:szCs w:val="24"/>
        </w:rPr>
      </w:pPr>
      <w:r>
        <w:rPr>
          <w:rFonts w:ascii="Arial" w:hAnsi="Arial" w:cs="Arial"/>
          <w:sz w:val="16"/>
          <w:szCs w:val="16"/>
        </w:rPr>
        <w:t>Peter</w:t>
      </w:r>
      <w:r w:rsidR="00BB05E2">
        <w:rPr>
          <w:rFonts w:ascii="Arial" w:hAnsi="Arial" w:cs="Arial"/>
          <w:sz w:val="16"/>
          <w:szCs w:val="16"/>
        </w:rPr>
        <w:t xml:space="preserve"> </w:t>
      </w:r>
      <w:r>
        <w:rPr>
          <w:rFonts w:ascii="Arial" w:hAnsi="Arial" w:cs="Arial"/>
          <w:sz w:val="16"/>
          <w:szCs w:val="16"/>
        </w:rPr>
        <w:t>Carrick</w:t>
      </w:r>
      <w:r w:rsidR="00BB05E2">
        <w:rPr>
          <w:rFonts w:ascii="Arial" w:hAnsi="Arial" w:cs="Arial"/>
          <w:sz w:val="16"/>
          <w:szCs w:val="16"/>
        </w:rPr>
        <w:t xml:space="preserve">: Extension </w:t>
      </w:r>
      <w:r w:rsidR="00431362">
        <w:rPr>
          <w:rFonts w:ascii="Arial" w:hAnsi="Arial" w:cs="Arial"/>
          <w:sz w:val="16"/>
          <w:szCs w:val="16"/>
        </w:rPr>
        <w:t>540</w:t>
      </w:r>
      <w:r>
        <w:rPr>
          <w:rFonts w:ascii="Arial" w:hAnsi="Arial" w:cs="Arial"/>
          <w:sz w:val="16"/>
          <w:szCs w:val="16"/>
        </w:rPr>
        <w:t>1</w:t>
      </w:r>
      <w:r w:rsidR="005804A2">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8"/>
        <w:gridCol w:w="5268"/>
      </w:tblGrid>
      <w:tr w:rsidR="00CE60D2" w:rsidRPr="00040DC1">
        <w:tc>
          <w:tcPr>
            <w:tcW w:w="3588" w:type="dxa"/>
          </w:tcPr>
          <w:p w:rsidR="00CE60D2" w:rsidRPr="00040DC1" w:rsidRDefault="00CE60D2" w:rsidP="005804A2">
            <w:pPr>
              <w:rPr>
                <w:rFonts w:ascii="Arial" w:eastAsia="Batang" w:hAnsi="Arial" w:cs="Arial"/>
                <w:szCs w:val="24"/>
              </w:rPr>
            </w:pPr>
            <w:r w:rsidRPr="00040DC1">
              <w:rPr>
                <w:rFonts w:ascii="Arial" w:eastAsia="Batang" w:hAnsi="Arial" w:cs="Arial"/>
                <w:szCs w:val="24"/>
              </w:rPr>
              <w:lastRenderedPageBreak/>
              <w:t>S17 Crime and Disorder</w:t>
            </w:r>
          </w:p>
        </w:tc>
        <w:tc>
          <w:tcPr>
            <w:tcW w:w="5268" w:type="dxa"/>
          </w:tcPr>
          <w:p w:rsidR="00CE60D2" w:rsidRPr="00BD1C27" w:rsidRDefault="00BD1C27" w:rsidP="005804A2">
            <w:pPr>
              <w:rPr>
                <w:rFonts w:ascii="Arial" w:eastAsia="Batang" w:hAnsi="Arial" w:cs="Arial"/>
                <w:szCs w:val="24"/>
              </w:rPr>
            </w:pPr>
            <w:r w:rsidRPr="00BD1C27">
              <w:rPr>
                <w:rFonts w:ascii="Arial" w:eastAsia="Batang" w:hAnsi="Arial" w:cs="Arial"/>
              </w:rPr>
              <w:t>This report has no implications for S 17 Crime and Disorder.</w:t>
            </w:r>
            <w:r w:rsidRPr="00BD1C27">
              <w:rPr>
                <w:rFonts w:ascii="Arial" w:eastAsia="Batang" w:hAnsi="Arial" w:cs="Arial"/>
                <w:szCs w:val="24"/>
              </w:rPr>
              <w:t xml:space="preserve"> </w:t>
            </w:r>
          </w:p>
        </w:tc>
      </w:tr>
      <w:tr w:rsidR="00CE60D2" w:rsidRPr="00040DC1">
        <w:tc>
          <w:tcPr>
            <w:tcW w:w="3588" w:type="dxa"/>
          </w:tcPr>
          <w:p w:rsidR="00CE60D2" w:rsidRPr="00040DC1" w:rsidRDefault="00CE60D2" w:rsidP="005804A2">
            <w:pPr>
              <w:rPr>
                <w:rFonts w:ascii="Arial" w:eastAsia="Batang" w:hAnsi="Arial" w:cs="Arial"/>
                <w:szCs w:val="24"/>
              </w:rPr>
            </w:pPr>
            <w:r w:rsidRPr="00040DC1">
              <w:rPr>
                <w:rFonts w:ascii="Arial" w:eastAsia="Batang" w:hAnsi="Arial" w:cs="Arial"/>
                <w:szCs w:val="24"/>
              </w:rPr>
              <w:t>Health and Well Being</w:t>
            </w:r>
          </w:p>
        </w:tc>
        <w:tc>
          <w:tcPr>
            <w:tcW w:w="5268" w:type="dxa"/>
          </w:tcPr>
          <w:p w:rsidR="00CE60D2" w:rsidRPr="00BD1C27" w:rsidRDefault="00BD1C27" w:rsidP="005804A2">
            <w:pPr>
              <w:rPr>
                <w:rFonts w:ascii="Arial" w:eastAsia="Batang" w:hAnsi="Arial" w:cs="Arial"/>
                <w:szCs w:val="24"/>
              </w:rPr>
            </w:pPr>
            <w:r w:rsidRPr="00BD1C27">
              <w:rPr>
                <w:rFonts w:ascii="Arial" w:eastAsia="Batang" w:hAnsi="Arial" w:cs="Arial"/>
              </w:rPr>
              <w:t>This report has no implications for the Council</w:t>
            </w:r>
            <w:r w:rsidR="00AF4F61">
              <w:rPr>
                <w:rFonts w:ascii="Arial" w:eastAsia="Batang" w:hAnsi="Arial" w:cs="Arial"/>
              </w:rPr>
              <w:t>’</w:t>
            </w:r>
            <w:r w:rsidRPr="00BD1C27">
              <w:rPr>
                <w:rFonts w:ascii="Arial" w:eastAsia="Batang" w:hAnsi="Arial" w:cs="Arial"/>
              </w:rPr>
              <w:t xml:space="preserve">s Health and </w:t>
            </w:r>
            <w:proofErr w:type="spellStart"/>
            <w:r w:rsidRPr="00BD1C27">
              <w:rPr>
                <w:rFonts w:ascii="Arial" w:eastAsia="Batang" w:hAnsi="Arial" w:cs="Arial"/>
              </w:rPr>
              <w:t>Well being</w:t>
            </w:r>
            <w:proofErr w:type="spellEnd"/>
            <w:r w:rsidRPr="00BD1C27">
              <w:rPr>
                <w:rFonts w:ascii="Arial" w:eastAsia="Batang" w:hAnsi="Arial" w:cs="Arial"/>
              </w:rPr>
              <w:t xml:space="preserve"> agenda.</w:t>
            </w:r>
          </w:p>
        </w:tc>
      </w:tr>
      <w:tr w:rsidR="00CE60D2" w:rsidRPr="00040DC1">
        <w:tc>
          <w:tcPr>
            <w:tcW w:w="3588" w:type="dxa"/>
          </w:tcPr>
          <w:p w:rsidR="00CE60D2" w:rsidRPr="00040DC1" w:rsidRDefault="000D2602" w:rsidP="005804A2">
            <w:pPr>
              <w:rPr>
                <w:rFonts w:ascii="Arial" w:eastAsia="Batang" w:hAnsi="Arial" w:cs="Arial"/>
                <w:szCs w:val="24"/>
              </w:rPr>
            </w:pPr>
            <w:r>
              <w:rPr>
                <w:rFonts w:ascii="Arial" w:eastAsia="Batang" w:hAnsi="Arial" w:cs="Arial"/>
                <w:szCs w:val="24"/>
              </w:rPr>
              <w:t>Carbon Impact</w:t>
            </w:r>
          </w:p>
        </w:tc>
        <w:tc>
          <w:tcPr>
            <w:tcW w:w="5268" w:type="dxa"/>
          </w:tcPr>
          <w:p w:rsidR="00CE60D2" w:rsidRPr="00040DC1" w:rsidRDefault="00BD1C27" w:rsidP="005804A2">
            <w:pPr>
              <w:rPr>
                <w:rFonts w:ascii="Arial" w:eastAsia="Batang" w:hAnsi="Arial" w:cs="Arial"/>
                <w:szCs w:val="24"/>
              </w:rPr>
            </w:pPr>
            <w:r w:rsidRPr="00BD1C27">
              <w:rPr>
                <w:rFonts w:ascii="Arial" w:eastAsia="Batang" w:hAnsi="Arial" w:cs="Arial"/>
              </w:rPr>
              <w:t>This report has no implications for the Council</w:t>
            </w:r>
            <w:r w:rsidR="00AF4F61">
              <w:rPr>
                <w:rFonts w:ascii="Arial" w:eastAsia="Batang" w:hAnsi="Arial" w:cs="Arial"/>
              </w:rPr>
              <w:t>’</w:t>
            </w:r>
            <w:r w:rsidRPr="00BD1C27">
              <w:rPr>
                <w:rFonts w:ascii="Arial" w:eastAsia="Batang" w:hAnsi="Arial" w:cs="Arial"/>
              </w:rPr>
              <w:t>s Carbon Emissions.</w:t>
            </w:r>
          </w:p>
        </w:tc>
      </w:tr>
      <w:tr w:rsidR="00CE60D2" w:rsidRPr="00040DC1">
        <w:tc>
          <w:tcPr>
            <w:tcW w:w="3588" w:type="dxa"/>
          </w:tcPr>
          <w:p w:rsidR="00CE60D2" w:rsidRPr="00040DC1" w:rsidRDefault="00CE60D2" w:rsidP="005804A2">
            <w:pPr>
              <w:rPr>
                <w:rFonts w:ascii="Arial" w:eastAsia="Batang" w:hAnsi="Arial" w:cs="Arial"/>
                <w:szCs w:val="24"/>
              </w:rPr>
            </w:pPr>
            <w:r w:rsidRPr="00040DC1">
              <w:rPr>
                <w:rFonts w:ascii="Arial" w:eastAsia="Batang" w:hAnsi="Arial" w:cs="Arial"/>
                <w:szCs w:val="24"/>
              </w:rPr>
              <w:t>Diversity</w:t>
            </w:r>
          </w:p>
        </w:tc>
        <w:tc>
          <w:tcPr>
            <w:tcW w:w="5268" w:type="dxa"/>
          </w:tcPr>
          <w:p w:rsidR="00A00863" w:rsidRPr="0033255D" w:rsidRDefault="00BD1C27" w:rsidP="005804A2">
            <w:pPr>
              <w:rPr>
                <w:rFonts w:ascii="Arial" w:hAnsi="Arial" w:cs="Arial"/>
                <w:color w:val="FF0000"/>
                <w:szCs w:val="24"/>
              </w:rPr>
            </w:pPr>
            <w:r w:rsidRPr="00BD1C27">
              <w:rPr>
                <w:rFonts w:ascii="Arial" w:eastAsia="Batang" w:hAnsi="Arial" w:cs="Arial"/>
              </w:rPr>
              <w:t>This report has no implications for the Council</w:t>
            </w:r>
            <w:r w:rsidR="00AF4F61">
              <w:rPr>
                <w:rFonts w:ascii="Arial" w:eastAsia="Batang" w:hAnsi="Arial" w:cs="Arial"/>
              </w:rPr>
              <w:t>’</w:t>
            </w:r>
            <w:r w:rsidRPr="00BD1C27">
              <w:rPr>
                <w:rFonts w:ascii="Arial" w:eastAsia="Batang" w:hAnsi="Arial" w:cs="Arial"/>
              </w:rPr>
              <w:t>s Diversity agenda.</w:t>
            </w:r>
            <w:r w:rsidR="00A00863" w:rsidRPr="00A00863">
              <w:rPr>
                <w:rFonts w:ascii="Arial" w:hAnsi="Arial" w:cs="Arial"/>
                <w:color w:val="FF0000"/>
                <w:szCs w:val="24"/>
              </w:rPr>
              <w:t xml:space="preserve"> </w:t>
            </w:r>
          </w:p>
        </w:tc>
      </w:tr>
      <w:tr w:rsidR="00CE60D2" w:rsidRPr="00040DC1">
        <w:tc>
          <w:tcPr>
            <w:tcW w:w="3588" w:type="dxa"/>
          </w:tcPr>
          <w:p w:rsidR="00CE60D2" w:rsidRPr="00040DC1" w:rsidRDefault="00CE60D2" w:rsidP="005804A2">
            <w:pPr>
              <w:rPr>
                <w:rFonts w:ascii="Arial" w:eastAsia="Batang" w:hAnsi="Arial" w:cs="Arial"/>
                <w:szCs w:val="24"/>
              </w:rPr>
            </w:pPr>
            <w:r w:rsidRPr="00040DC1">
              <w:rPr>
                <w:rFonts w:ascii="Arial" w:eastAsia="Batang" w:hAnsi="Arial" w:cs="Arial"/>
                <w:szCs w:val="24"/>
              </w:rPr>
              <w:t>Wards Affected</w:t>
            </w:r>
          </w:p>
        </w:tc>
        <w:tc>
          <w:tcPr>
            <w:tcW w:w="5268" w:type="dxa"/>
          </w:tcPr>
          <w:p w:rsidR="00CE60D2" w:rsidRPr="00040DC1" w:rsidRDefault="00BD1C27" w:rsidP="005804A2">
            <w:pPr>
              <w:rPr>
                <w:rFonts w:ascii="Arial" w:eastAsia="Batang" w:hAnsi="Arial" w:cs="Arial"/>
                <w:szCs w:val="24"/>
              </w:rPr>
            </w:pPr>
            <w:r>
              <w:rPr>
                <w:rFonts w:ascii="Arial" w:eastAsia="Batang" w:hAnsi="Arial" w:cs="Arial"/>
                <w:szCs w:val="24"/>
              </w:rPr>
              <w:t>All Wards</w:t>
            </w:r>
          </w:p>
        </w:tc>
      </w:tr>
      <w:tr w:rsidR="00CE60D2" w:rsidRPr="00040DC1">
        <w:tc>
          <w:tcPr>
            <w:tcW w:w="3588" w:type="dxa"/>
          </w:tcPr>
          <w:p w:rsidR="00CE60D2" w:rsidRPr="00040DC1" w:rsidRDefault="00CE60D2" w:rsidP="005804A2">
            <w:pPr>
              <w:rPr>
                <w:rFonts w:ascii="Arial" w:eastAsia="Batang" w:hAnsi="Arial" w:cs="Arial"/>
                <w:szCs w:val="24"/>
              </w:rPr>
            </w:pPr>
            <w:r w:rsidRPr="00040DC1">
              <w:rPr>
                <w:rFonts w:ascii="Arial" w:eastAsia="Batang" w:hAnsi="Arial" w:cs="Arial"/>
                <w:szCs w:val="24"/>
              </w:rPr>
              <w:t>Groups Affected</w:t>
            </w:r>
          </w:p>
        </w:tc>
        <w:tc>
          <w:tcPr>
            <w:tcW w:w="5268" w:type="dxa"/>
          </w:tcPr>
          <w:p w:rsidR="00CE60D2" w:rsidRPr="00040DC1" w:rsidRDefault="00BD1C27" w:rsidP="005804A2">
            <w:pPr>
              <w:rPr>
                <w:rFonts w:ascii="Arial" w:eastAsia="Batang" w:hAnsi="Arial" w:cs="Arial"/>
                <w:szCs w:val="24"/>
              </w:rPr>
            </w:pPr>
            <w:r>
              <w:rPr>
                <w:rFonts w:ascii="Arial" w:eastAsia="Batang" w:hAnsi="Arial" w:cs="Arial"/>
                <w:szCs w:val="24"/>
              </w:rPr>
              <w:t>All Groups</w:t>
            </w:r>
          </w:p>
        </w:tc>
      </w:tr>
      <w:tr w:rsidR="00CE60D2" w:rsidRPr="00040DC1">
        <w:tc>
          <w:tcPr>
            <w:tcW w:w="3588" w:type="dxa"/>
          </w:tcPr>
          <w:p w:rsidR="00CE60D2" w:rsidRPr="00040DC1" w:rsidRDefault="00CE60D2" w:rsidP="005804A2">
            <w:pPr>
              <w:rPr>
                <w:rFonts w:ascii="Arial" w:eastAsia="Batang" w:hAnsi="Arial" w:cs="Arial"/>
                <w:szCs w:val="24"/>
              </w:rPr>
            </w:pPr>
            <w:r w:rsidRPr="00040DC1">
              <w:rPr>
                <w:rFonts w:ascii="Arial" w:eastAsia="Batang" w:hAnsi="Arial" w:cs="Arial"/>
                <w:szCs w:val="24"/>
              </w:rPr>
              <w:t xml:space="preserve">Budget and Policy Framework </w:t>
            </w:r>
          </w:p>
        </w:tc>
        <w:tc>
          <w:tcPr>
            <w:tcW w:w="5268" w:type="dxa"/>
          </w:tcPr>
          <w:p w:rsidR="00CE60D2" w:rsidRPr="00BD1C27" w:rsidRDefault="00BD1C27" w:rsidP="005804A2">
            <w:pPr>
              <w:rPr>
                <w:rFonts w:ascii="Arial" w:hAnsi="Arial" w:cs="Arial"/>
                <w:color w:val="FF0000"/>
                <w:szCs w:val="24"/>
              </w:rPr>
            </w:pPr>
            <w:r w:rsidRPr="00BD1C27">
              <w:rPr>
                <w:rFonts w:ascii="Arial" w:eastAsia="Batang" w:hAnsi="Arial" w:cs="Arial"/>
              </w:rPr>
              <w:t>This report must be considered by Council.</w:t>
            </w:r>
          </w:p>
        </w:tc>
      </w:tr>
      <w:tr w:rsidR="00CE60D2" w:rsidRPr="00040DC1">
        <w:tc>
          <w:tcPr>
            <w:tcW w:w="3588" w:type="dxa"/>
          </w:tcPr>
          <w:p w:rsidR="00CE60D2" w:rsidRPr="00040DC1" w:rsidRDefault="00CE60D2" w:rsidP="005804A2">
            <w:pPr>
              <w:rPr>
                <w:rFonts w:ascii="Arial" w:eastAsia="Batang" w:hAnsi="Arial" w:cs="Arial"/>
                <w:szCs w:val="24"/>
              </w:rPr>
            </w:pPr>
            <w:r w:rsidRPr="00040DC1">
              <w:rPr>
                <w:rFonts w:ascii="Arial" w:eastAsia="Batang" w:hAnsi="Arial" w:cs="Arial"/>
                <w:szCs w:val="24"/>
              </w:rPr>
              <w:t>Key Decision</w:t>
            </w:r>
          </w:p>
        </w:tc>
        <w:tc>
          <w:tcPr>
            <w:tcW w:w="5268" w:type="dxa"/>
          </w:tcPr>
          <w:p w:rsidR="00CE60D2" w:rsidRPr="00040DC1" w:rsidRDefault="00BD1C27" w:rsidP="005804A2">
            <w:pPr>
              <w:pStyle w:val="Numbering"/>
              <w:tabs>
                <w:tab w:val="left" w:pos="0"/>
              </w:tabs>
              <w:rPr>
                <w:rFonts w:ascii="Arial" w:eastAsia="Batang" w:hAnsi="Arial" w:cs="Arial"/>
                <w:szCs w:val="24"/>
              </w:rPr>
            </w:pPr>
            <w:r>
              <w:rPr>
                <w:rFonts w:ascii="Arial" w:eastAsia="Batang" w:hAnsi="Arial" w:cs="Arial"/>
                <w:szCs w:val="24"/>
              </w:rPr>
              <w:t>This is not an executive decision</w:t>
            </w:r>
          </w:p>
        </w:tc>
      </w:tr>
      <w:tr w:rsidR="00CE60D2" w:rsidRPr="00040DC1">
        <w:tc>
          <w:tcPr>
            <w:tcW w:w="3588" w:type="dxa"/>
          </w:tcPr>
          <w:p w:rsidR="00CE60D2" w:rsidRPr="00040DC1" w:rsidRDefault="00CE60D2" w:rsidP="005804A2">
            <w:pPr>
              <w:rPr>
                <w:rFonts w:ascii="Arial" w:eastAsia="Batang" w:hAnsi="Arial" w:cs="Arial"/>
                <w:szCs w:val="24"/>
              </w:rPr>
            </w:pPr>
            <w:r w:rsidRPr="00040DC1">
              <w:rPr>
                <w:rFonts w:ascii="Arial" w:eastAsia="Batang" w:hAnsi="Arial" w:cs="Arial"/>
                <w:szCs w:val="24"/>
              </w:rPr>
              <w:t>Urgent Decision</w:t>
            </w:r>
          </w:p>
        </w:tc>
        <w:tc>
          <w:tcPr>
            <w:tcW w:w="5268" w:type="dxa"/>
          </w:tcPr>
          <w:p w:rsidR="00CE60D2" w:rsidRPr="00BD1C27" w:rsidRDefault="00BD1C27" w:rsidP="005804A2">
            <w:pPr>
              <w:rPr>
                <w:rFonts w:ascii="Arial" w:eastAsia="Batang" w:hAnsi="Arial" w:cs="Arial"/>
                <w:szCs w:val="24"/>
              </w:rPr>
            </w:pPr>
            <w:r w:rsidRPr="00BD1C27">
              <w:rPr>
                <w:rFonts w:ascii="Arial" w:eastAsia="Batang" w:hAnsi="Arial" w:cs="Arial"/>
              </w:rPr>
              <w:t>For the purposes of call in this report is not an urgent decision.</w:t>
            </w:r>
          </w:p>
        </w:tc>
      </w:tr>
      <w:tr w:rsidR="00CE60D2" w:rsidRPr="00040DC1">
        <w:tc>
          <w:tcPr>
            <w:tcW w:w="3588" w:type="dxa"/>
          </w:tcPr>
          <w:p w:rsidR="00CE60D2" w:rsidRPr="00040DC1" w:rsidRDefault="00CE60D2" w:rsidP="005804A2">
            <w:pPr>
              <w:rPr>
                <w:rFonts w:ascii="Arial" w:eastAsia="Batang" w:hAnsi="Arial" w:cs="Arial"/>
                <w:szCs w:val="24"/>
              </w:rPr>
            </w:pPr>
            <w:r w:rsidRPr="00040DC1">
              <w:rPr>
                <w:rFonts w:ascii="Arial" w:eastAsia="Batang" w:hAnsi="Arial" w:cs="Arial"/>
                <w:szCs w:val="24"/>
              </w:rPr>
              <w:t>One Darlington: Perfectly Placed</w:t>
            </w:r>
          </w:p>
        </w:tc>
        <w:tc>
          <w:tcPr>
            <w:tcW w:w="5268" w:type="dxa"/>
          </w:tcPr>
          <w:p w:rsidR="00CE60D2" w:rsidRPr="00BD1C27" w:rsidRDefault="00BD1C27" w:rsidP="005804A2">
            <w:pPr>
              <w:rPr>
                <w:rFonts w:ascii="Arial" w:eastAsia="Batang" w:hAnsi="Arial" w:cs="Arial"/>
                <w:szCs w:val="24"/>
              </w:rPr>
            </w:pPr>
            <w:r w:rsidRPr="00BD1C27">
              <w:rPr>
                <w:rFonts w:ascii="Arial" w:eastAsia="Batang" w:hAnsi="Arial" w:cs="Arial"/>
              </w:rPr>
              <w:t>This report has no particular implications for the sustainable Community Strategy.</w:t>
            </w:r>
          </w:p>
        </w:tc>
      </w:tr>
      <w:tr w:rsidR="001A608D" w:rsidRPr="00040DC1">
        <w:tc>
          <w:tcPr>
            <w:tcW w:w="3588" w:type="dxa"/>
          </w:tcPr>
          <w:p w:rsidR="001A608D" w:rsidRPr="00040DC1" w:rsidRDefault="001A608D" w:rsidP="005804A2">
            <w:pPr>
              <w:rPr>
                <w:rFonts w:ascii="Arial" w:eastAsia="Batang" w:hAnsi="Arial" w:cs="Arial"/>
                <w:szCs w:val="24"/>
              </w:rPr>
            </w:pPr>
            <w:r w:rsidRPr="00040DC1">
              <w:rPr>
                <w:rFonts w:ascii="Arial" w:eastAsia="Batang" w:hAnsi="Arial" w:cs="Arial"/>
                <w:szCs w:val="24"/>
              </w:rPr>
              <w:t>Efficiency</w:t>
            </w:r>
          </w:p>
        </w:tc>
        <w:tc>
          <w:tcPr>
            <w:tcW w:w="5268" w:type="dxa"/>
          </w:tcPr>
          <w:p w:rsidR="001A608D" w:rsidRPr="00040DC1" w:rsidRDefault="00BD1C27" w:rsidP="005804A2">
            <w:pPr>
              <w:rPr>
                <w:rFonts w:ascii="Arial" w:eastAsia="Batang" w:hAnsi="Arial" w:cs="Arial"/>
                <w:szCs w:val="24"/>
              </w:rPr>
            </w:pPr>
            <w:r w:rsidRPr="00BD1C27">
              <w:rPr>
                <w:rFonts w:ascii="Arial" w:eastAsia="Batang" w:hAnsi="Arial" w:cs="Arial"/>
              </w:rPr>
              <w:t>The report refers to actions taken to reduce costs and manage risks.</w:t>
            </w:r>
          </w:p>
        </w:tc>
      </w:tr>
      <w:tr w:rsidR="005803B1" w:rsidRPr="00040DC1">
        <w:tc>
          <w:tcPr>
            <w:tcW w:w="3588" w:type="dxa"/>
          </w:tcPr>
          <w:p w:rsidR="005803B1" w:rsidRPr="00040DC1" w:rsidRDefault="005803B1" w:rsidP="005804A2">
            <w:pPr>
              <w:rPr>
                <w:rFonts w:ascii="Arial" w:eastAsia="Batang" w:hAnsi="Arial" w:cs="Arial"/>
                <w:szCs w:val="24"/>
              </w:rPr>
            </w:pPr>
            <w:r>
              <w:rPr>
                <w:rFonts w:ascii="Arial" w:eastAsia="Batang" w:hAnsi="Arial" w:cs="Arial"/>
                <w:szCs w:val="24"/>
              </w:rPr>
              <w:t>Impact on Looked After Children and Care Leavers</w:t>
            </w:r>
          </w:p>
        </w:tc>
        <w:tc>
          <w:tcPr>
            <w:tcW w:w="5268" w:type="dxa"/>
          </w:tcPr>
          <w:p w:rsidR="005803B1" w:rsidRPr="00BD1C27" w:rsidRDefault="005803B1" w:rsidP="005804A2">
            <w:pPr>
              <w:rPr>
                <w:rFonts w:ascii="Arial" w:eastAsia="Batang" w:hAnsi="Arial" w:cs="Arial"/>
              </w:rPr>
            </w:pPr>
            <w:r w:rsidRPr="00406BAE">
              <w:rPr>
                <w:rFonts w:ascii="Arial" w:eastAsia="Batang" w:hAnsi="Arial" w:cs="Arial"/>
                <w:szCs w:val="24"/>
              </w:rPr>
              <w:t>This report has no impact on Looked After Children or Care Leavers</w:t>
            </w:r>
            <w:r>
              <w:rPr>
                <w:rFonts w:ascii="Arial" w:eastAsia="Batang" w:hAnsi="Arial" w:cs="Arial"/>
                <w:szCs w:val="24"/>
              </w:rPr>
              <w:t>.</w:t>
            </w:r>
          </w:p>
        </w:tc>
      </w:tr>
    </w:tbl>
    <w:p w:rsidR="006222A8" w:rsidRPr="00040DC1" w:rsidRDefault="006222A8" w:rsidP="005804A2">
      <w:pPr>
        <w:pStyle w:val="HEADING"/>
        <w:jc w:val="center"/>
        <w:rPr>
          <w:rFonts w:ascii="Arial" w:hAnsi="Arial" w:cs="Arial"/>
          <w:szCs w:val="24"/>
        </w:rPr>
      </w:pPr>
    </w:p>
    <w:p w:rsidR="007D4C52" w:rsidRPr="007D4C52" w:rsidRDefault="007D4C52" w:rsidP="005804A2">
      <w:pPr>
        <w:pStyle w:val="HEADING"/>
        <w:numPr>
          <w:ilvl w:val="12"/>
          <w:numId w:val="0"/>
        </w:numPr>
        <w:jc w:val="center"/>
        <w:rPr>
          <w:rFonts w:ascii="Arial" w:hAnsi="Arial" w:cs="Arial"/>
        </w:rPr>
      </w:pPr>
      <w:r w:rsidRPr="007D4C52">
        <w:rPr>
          <w:rFonts w:ascii="Arial" w:hAnsi="Arial" w:cs="Arial"/>
        </w:rPr>
        <w:t>MAIN REPORT</w:t>
      </w:r>
    </w:p>
    <w:p w:rsidR="007D4C52" w:rsidRPr="007D4C52" w:rsidRDefault="007D4C52" w:rsidP="005804A2">
      <w:pPr>
        <w:pStyle w:val="HEADING"/>
        <w:jc w:val="center"/>
        <w:rPr>
          <w:rFonts w:ascii="Arial" w:hAnsi="Arial" w:cs="Arial"/>
          <w:b w:val="0"/>
          <w:bCs/>
        </w:rPr>
      </w:pPr>
    </w:p>
    <w:p w:rsidR="007D4C52" w:rsidRPr="007D4C52" w:rsidRDefault="007D4C52" w:rsidP="005804A2">
      <w:pPr>
        <w:pStyle w:val="HEADING"/>
        <w:numPr>
          <w:ilvl w:val="12"/>
          <w:numId w:val="0"/>
        </w:numPr>
        <w:rPr>
          <w:rFonts w:ascii="Arial" w:hAnsi="Arial" w:cs="Arial"/>
        </w:rPr>
      </w:pPr>
      <w:r w:rsidRPr="007D4C52">
        <w:rPr>
          <w:rFonts w:ascii="Arial" w:hAnsi="Arial" w:cs="Arial"/>
        </w:rPr>
        <w:t>Information and Analysis</w:t>
      </w:r>
      <w:r w:rsidRPr="007D4C52">
        <w:rPr>
          <w:rFonts w:ascii="Arial" w:hAnsi="Arial" w:cs="Arial"/>
        </w:rPr>
        <w:br/>
      </w:r>
    </w:p>
    <w:p w:rsidR="007D4C52" w:rsidRPr="007D4C52" w:rsidRDefault="007D4C52" w:rsidP="005804A2">
      <w:pPr>
        <w:pStyle w:val="HEADING"/>
        <w:numPr>
          <w:ilvl w:val="12"/>
          <w:numId w:val="0"/>
        </w:numPr>
        <w:rPr>
          <w:rFonts w:ascii="Arial" w:hAnsi="Arial" w:cs="Arial"/>
          <w:noProof/>
          <w:szCs w:val="22"/>
        </w:rPr>
      </w:pPr>
      <w:r w:rsidRPr="007D4C52">
        <w:rPr>
          <w:rFonts w:ascii="Arial" w:hAnsi="Arial" w:cs="Arial"/>
          <w:noProof/>
          <w:szCs w:val="22"/>
        </w:rPr>
        <w:t>Background</w:t>
      </w:r>
    </w:p>
    <w:p w:rsidR="007D4C52" w:rsidRPr="007D4C52" w:rsidRDefault="007D4C52" w:rsidP="005804A2">
      <w:pPr>
        <w:pStyle w:val="HEADING"/>
        <w:numPr>
          <w:ilvl w:val="12"/>
          <w:numId w:val="0"/>
        </w:numPr>
        <w:rPr>
          <w:rFonts w:ascii="Arial" w:hAnsi="Arial" w:cs="Arial"/>
        </w:rPr>
      </w:pPr>
    </w:p>
    <w:p w:rsidR="007D4C52" w:rsidRPr="007D4C52" w:rsidRDefault="007D4C52" w:rsidP="005804A2">
      <w:pPr>
        <w:numPr>
          <w:ilvl w:val="0"/>
          <w:numId w:val="1"/>
        </w:numPr>
        <w:tabs>
          <w:tab w:val="num" w:pos="0"/>
        </w:tabs>
        <w:rPr>
          <w:rFonts w:ascii="Arial" w:hAnsi="Arial" w:cs="Arial"/>
          <w:noProof/>
          <w:szCs w:val="24"/>
        </w:rPr>
      </w:pPr>
      <w:r w:rsidRPr="007D4C52">
        <w:rPr>
          <w:rFonts w:ascii="Arial" w:hAnsi="Arial" w:cs="Arial"/>
          <w:noProof/>
          <w:szCs w:val="24"/>
        </w:rPr>
        <w:t>The Council is required to operate a balanced budget, which broadly means that cash raised during the year will meet cash expenditure.  Part of the treasury management operation is to ensure that this cash flow is adequately planned, with cash being available when it is needed.  Surplus monies are invested in counterparties or instruments commensur</w:t>
      </w:r>
      <w:r w:rsidR="00FF3D05">
        <w:rPr>
          <w:rFonts w:ascii="Arial" w:hAnsi="Arial" w:cs="Arial"/>
          <w:noProof/>
          <w:szCs w:val="24"/>
        </w:rPr>
        <w:t xml:space="preserve">ate with the Council’s risk </w:t>
      </w:r>
      <w:r w:rsidRPr="007D4C52">
        <w:rPr>
          <w:rFonts w:ascii="Arial" w:hAnsi="Arial" w:cs="Arial"/>
          <w:noProof/>
          <w:szCs w:val="24"/>
        </w:rPr>
        <w:t>appetite, providing adequate liquidity initially before considering investment return.</w:t>
      </w:r>
    </w:p>
    <w:p w:rsidR="007D4C52" w:rsidRPr="007D4C52" w:rsidRDefault="007D4C52" w:rsidP="005804A2">
      <w:pPr>
        <w:tabs>
          <w:tab w:val="num" w:pos="540"/>
        </w:tabs>
        <w:rPr>
          <w:rFonts w:ascii="Arial" w:hAnsi="Arial" w:cs="Arial"/>
          <w:noProof/>
          <w:szCs w:val="24"/>
        </w:rPr>
      </w:pPr>
    </w:p>
    <w:p w:rsidR="007D4C52" w:rsidRDefault="007D4C52" w:rsidP="005804A2">
      <w:pPr>
        <w:numPr>
          <w:ilvl w:val="0"/>
          <w:numId w:val="1"/>
        </w:numPr>
        <w:tabs>
          <w:tab w:val="num" w:pos="0"/>
        </w:tabs>
        <w:rPr>
          <w:rFonts w:ascii="Arial" w:hAnsi="Arial" w:cs="Arial"/>
          <w:noProof/>
          <w:szCs w:val="24"/>
        </w:rPr>
      </w:pPr>
      <w:r w:rsidRPr="007D4C52">
        <w:rPr>
          <w:rFonts w:ascii="Arial" w:hAnsi="Arial" w:cs="Arial"/>
          <w:noProof/>
          <w:szCs w:val="24"/>
        </w:rPr>
        <w:t>The second main function of the treasury management service is the funding of the Council’s capital plans.  These capital plans provide a guide to the borrowing need of the Council, essentially the longer term cash flow planning to ensure that the Council can meet its capital spending obligations.  This management of longer term cash may involve arranging long or short term loans, or using longer term cash flow surpluses.  On occasion</w:t>
      </w:r>
      <w:r w:rsidR="00DB2402">
        <w:rPr>
          <w:rFonts w:ascii="Arial" w:hAnsi="Arial" w:cs="Arial"/>
          <w:noProof/>
          <w:szCs w:val="24"/>
        </w:rPr>
        <w:t>, when it is prudent and economic,</w:t>
      </w:r>
      <w:r w:rsidRPr="007D4C52">
        <w:rPr>
          <w:rFonts w:ascii="Arial" w:hAnsi="Arial" w:cs="Arial"/>
          <w:noProof/>
          <w:szCs w:val="24"/>
        </w:rPr>
        <w:t xml:space="preserve"> any debt previously drawn may be restructured to meet Council risk or cost objectives. </w:t>
      </w:r>
    </w:p>
    <w:p w:rsidR="00980671" w:rsidRDefault="00980671" w:rsidP="00980671">
      <w:pPr>
        <w:pStyle w:val="ListParagraph"/>
        <w:rPr>
          <w:rFonts w:ascii="Arial" w:hAnsi="Arial" w:cs="Arial"/>
          <w:noProof/>
          <w:szCs w:val="24"/>
        </w:rPr>
      </w:pPr>
    </w:p>
    <w:p w:rsidR="00980671" w:rsidRDefault="00980671" w:rsidP="00980671">
      <w:pPr>
        <w:numPr>
          <w:ilvl w:val="0"/>
          <w:numId w:val="1"/>
        </w:numPr>
        <w:rPr>
          <w:rFonts w:ascii="Arial" w:hAnsi="Arial" w:cs="Arial"/>
          <w:noProof/>
          <w:szCs w:val="24"/>
        </w:rPr>
      </w:pPr>
      <w:r w:rsidRPr="00980671">
        <w:rPr>
          <w:rFonts w:ascii="Arial" w:hAnsi="Arial" w:cs="Arial"/>
          <w:noProof/>
          <w:szCs w:val="24"/>
        </w:rPr>
        <w:t xml:space="preserve">The contribution the treasury management function makes to the authority is critical, as the balance of debt and investment operations ensure liquidity or the ability to meet spending commitments as they fall due, either on day-to-day revenue or for larger capital projects.  The treasury operations will see a balance of the interest costs of debt and the investment income arising from cash deposits affecting the available budget.  Since cash balances generally result from reserves </w:t>
      </w:r>
      <w:r w:rsidRPr="00980671">
        <w:rPr>
          <w:rFonts w:ascii="Arial" w:hAnsi="Arial" w:cs="Arial"/>
          <w:noProof/>
          <w:szCs w:val="24"/>
        </w:rPr>
        <w:lastRenderedPageBreak/>
        <w:t>and balances, it is paramount to ensure adequate security of the sums invested, as a loss of principal will in effect result in a loss to the General Fund Balance</w:t>
      </w:r>
      <w:r>
        <w:rPr>
          <w:rFonts w:ascii="Arial" w:hAnsi="Arial" w:cs="Arial"/>
          <w:noProof/>
          <w:szCs w:val="24"/>
        </w:rPr>
        <w:t>.</w:t>
      </w:r>
    </w:p>
    <w:p w:rsidR="00980671" w:rsidRDefault="00980671" w:rsidP="00980671">
      <w:pPr>
        <w:pStyle w:val="ListParagraph"/>
        <w:rPr>
          <w:rFonts w:ascii="Arial" w:hAnsi="Arial" w:cs="Arial"/>
          <w:noProof/>
          <w:szCs w:val="24"/>
        </w:rPr>
      </w:pPr>
    </w:p>
    <w:p w:rsidR="00980671" w:rsidRPr="007D4C52" w:rsidRDefault="00980671" w:rsidP="00980671">
      <w:pPr>
        <w:numPr>
          <w:ilvl w:val="0"/>
          <w:numId w:val="1"/>
        </w:numPr>
        <w:rPr>
          <w:rFonts w:ascii="Arial" w:hAnsi="Arial" w:cs="Arial"/>
          <w:noProof/>
          <w:szCs w:val="24"/>
        </w:rPr>
      </w:pPr>
      <w:r w:rsidRPr="00980671">
        <w:rPr>
          <w:rFonts w:ascii="Arial" w:hAnsi="Arial" w:cs="Arial"/>
          <w:noProof/>
          <w:szCs w:val="24"/>
        </w:rPr>
        <w:t>Whilst any commercial initiatives or loans to third parties will impact on the treasury function, these activities are generally classed as non-treasury activities, (arising usually from capital expenditure),</w:t>
      </w:r>
      <w:r w:rsidR="00053C78">
        <w:rPr>
          <w:rFonts w:ascii="Arial" w:hAnsi="Arial" w:cs="Arial"/>
          <w:noProof/>
          <w:szCs w:val="24"/>
        </w:rPr>
        <w:t xml:space="preserve"> </w:t>
      </w:r>
      <w:r w:rsidRPr="00980671">
        <w:rPr>
          <w:rFonts w:ascii="Arial" w:hAnsi="Arial" w:cs="Arial"/>
          <w:noProof/>
          <w:szCs w:val="24"/>
        </w:rPr>
        <w:t>and are separate from the day to day treasury management activities</w:t>
      </w:r>
      <w:r>
        <w:rPr>
          <w:rFonts w:ascii="Arial" w:hAnsi="Arial" w:cs="Arial"/>
          <w:noProof/>
          <w:szCs w:val="24"/>
        </w:rPr>
        <w:t>.</w:t>
      </w:r>
    </w:p>
    <w:p w:rsidR="007D4C52" w:rsidRPr="007D4C52" w:rsidRDefault="007D4C52" w:rsidP="005804A2">
      <w:pPr>
        <w:tabs>
          <w:tab w:val="num" w:pos="540"/>
        </w:tabs>
        <w:rPr>
          <w:rFonts w:ascii="Arial" w:hAnsi="Arial" w:cs="Arial"/>
          <w:noProof/>
          <w:sz w:val="22"/>
          <w:szCs w:val="22"/>
        </w:rPr>
      </w:pPr>
    </w:p>
    <w:p w:rsidR="007D4C52" w:rsidRPr="00251B9C" w:rsidRDefault="007D4C52" w:rsidP="005804A2">
      <w:pPr>
        <w:numPr>
          <w:ilvl w:val="0"/>
          <w:numId w:val="1"/>
        </w:numPr>
        <w:tabs>
          <w:tab w:val="num" w:pos="0"/>
        </w:tabs>
        <w:rPr>
          <w:rFonts w:ascii="Arial" w:hAnsi="Arial" w:cs="Arial"/>
          <w:noProof/>
          <w:szCs w:val="24"/>
        </w:rPr>
      </w:pPr>
      <w:r w:rsidRPr="00251B9C">
        <w:rPr>
          <w:rFonts w:ascii="Arial" w:hAnsi="Arial" w:cs="Arial"/>
          <w:noProof/>
          <w:szCs w:val="24"/>
        </w:rPr>
        <w:t>CIPFA defines treasury management as:</w:t>
      </w:r>
    </w:p>
    <w:p w:rsidR="00D117CF" w:rsidRDefault="007D4C52" w:rsidP="0062063B">
      <w:pPr>
        <w:tabs>
          <w:tab w:val="num" w:pos="540"/>
        </w:tabs>
        <w:rPr>
          <w:rFonts w:ascii="Arial" w:hAnsi="Arial" w:cs="Arial"/>
          <w:i/>
          <w:noProof/>
          <w:szCs w:val="24"/>
        </w:rPr>
      </w:pPr>
      <w:r w:rsidRPr="00251B9C">
        <w:rPr>
          <w:rFonts w:ascii="Arial" w:hAnsi="Arial" w:cs="Arial"/>
          <w:noProof/>
          <w:szCs w:val="24"/>
        </w:rPr>
        <w:br/>
      </w:r>
      <w:r w:rsidRPr="00251B9C">
        <w:rPr>
          <w:rFonts w:ascii="Arial" w:hAnsi="Arial" w:cs="Arial"/>
          <w:i/>
          <w:noProof/>
          <w:szCs w:val="24"/>
        </w:rPr>
        <w:t>“The management of the local authority’s investments and cash flows, its banking, money market and capital market transactions; the effective control of the risks associated with those activities; and the pursuit of optimum performance consistent with those risks.”</w:t>
      </w:r>
    </w:p>
    <w:p w:rsidR="00D117CF" w:rsidRDefault="00D117CF" w:rsidP="0062063B">
      <w:pPr>
        <w:tabs>
          <w:tab w:val="num" w:pos="540"/>
        </w:tabs>
        <w:rPr>
          <w:rFonts w:ascii="Arial" w:hAnsi="Arial" w:cs="Arial"/>
          <w:i/>
          <w:noProof/>
          <w:szCs w:val="24"/>
        </w:rPr>
      </w:pPr>
    </w:p>
    <w:p w:rsidR="003438A6" w:rsidRPr="003438A6" w:rsidRDefault="00D117CF" w:rsidP="00231328">
      <w:pPr>
        <w:pStyle w:val="ListParagraph"/>
        <w:numPr>
          <w:ilvl w:val="0"/>
          <w:numId w:val="1"/>
        </w:numPr>
        <w:tabs>
          <w:tab w:val="num" w:pos="540"/>
        </w:tabs>
        <w:rPr>
          <w:rFonts w:ascii="Arial" w:hAnsi="Arial" w:cs="Arial"/>
          <w:b/>
          <w:noProof/>
        </w:rPr>
      </w:pPr>
      <w:r w:rsidRPr="003438A6">
        <w:rPr>
          <w:rFonts w:ascii="Arial" w:hAnsi="Arial" w:cs="Arial"/>
          <w:noProof/>
          <w:szCs w:val="24"/>
        </w:rPr>
        <w:t>Revised reporting is required for the 2019/20 reporting cycle due to revisions of the MHCLG Investment Guidance, the MHCLG Minimum Revenue Provision (MRP) Guidance, the CIPFA Prudential Code and the CIPFA Treasury Management Code. The primary reporting changes include the introduction of a capital strategy, to provide a longer-term focus to the capital plans, and greater reporting requirements surrounding any commercial activity undertaken under the Localism</w:t>
      </w:r>
      <w:r w:rsidR="003438A6" w:rsidRPr="003438A6">
        <w:rPr>
          <w:rFonts w:ascii="Arial" w:hAnsi="Arial" w:cs="Arial"/>
          <w:noProof/>
          <w:szCs w:val="24"/>
        </w:rPr>
        <w:t xml:space="preserve"> Act 2011. The capital strategy is being reported separately alongside the </w:t>
      </w:r>
      <w:r w:rsidR="00B72BA5">
        <w:rPr>
          <w:rFonts w:ascii="Arial" w:hAnsi="Arial" w:cs="Arial"/>
          <w:noProof/>
          <w:szCs w:val="24"/>
        </w:rPr>
        <w:t>2019/20 M</w:t>
      </w:r>
      <w:r w:rsidR="003438A6" w:rsidRPr="003438A6">
        <w:rPr>
          <w:rFonts w:ascii="Arial" w:hAnsi="Arial" w:cs="Arial"/>
          <w:noProof/>
          <w:szCs w:val="24"/>
        </w:rPr>
        <w:t>TFP.</w:t>
      </w:r>
    </w:p>
    <w:p w:rsidR="003438A6" w:rsidRPr="003438A6" w:rsidRDefault="003438A6" w:rsidP="003438A6">
      <w:pPr>
        <w:pStyle w:val="ListParagraph"/>
        <w:ind w:left="567"/>
        <w:rPr>
          <w:rFonts w:ascii="Arial" w:hAnsi="Arial" w:cs="Arial"/>
          <w:b/>
          <w:noProof/>
        </w:rPr>
      </w:pPr>
    </w:p>
    <w:p w:rsidR="007D4C52" w:rsidRDefault="007D4C52" w:rsidP="003438A6">
      <w:pPr>
        <w:tabs>
          <w:tab w:val="num" w:pos="540"/>
        </w:tabs>
        <w:rPr>
          <w:rFonts w:ascii="Arial" w:hAnsi="Arial" w:cs="Arial"/>
          <w:b/>
          <w:noProof/>
        </w:rPr>
      </w:pPr>
      <w:r w:rsidRPr="003438A6">
        <w:rPr>
          <w:rFonts w:ascii="Arial" w:hAnsi="Arial" w:cs="Arial"/>
          <w:b/>
          <w:noProof/>
        </w:rPr>
        <w:t>Reporting requirements</w:t>
      </w:r>
    </w:p>
    <w:p w:rsidR="00192B2D" w:rsidRDefault="00192B2D" w:rsidP="003438A6">
      <w:pPr>
        <w:tabs>
          <w:tab w:val="num" w:pos="540"/>
        </w:tabs>
        <w:rPr>
          <w:rFonts w:ascii="Arial" w:hAnsi="Arial" w:cs="Arial"/>
          <w:b/>
          <w:noProof/>
        </w:rPr>
      </w:pPr>
    </w:p>
    <w:p w:rsidR="005804A2" w:rsidRPr="00192B2D" w:rsidRDefault="00192B2D" w:rsidP="005804A2">
      <w:pPr>
        <w:pStyle w:val="BodyText"/>
        <w:spacing w:after="0"/>
        <w:rPr>
          <w:rFonts w:ascii="Arial" w:hAnsi="Arial" w:cs="Arial"/>
          <w:b/>
          <w:noProof/>
          <w:sz w:val="22"/>
          <w:szCs w:val="22"/>
        </w:rPr>
      </w:pPr>
      <w:r w:rsidRPr="00192B2D">
        <w:rPr>
          <w:rFonts w:ascii="Arial" w:hAnsi="Arial" w:cs="Arial"/>
          <w:b/>
          <w:noProof/>
          <w:sz w:val="22"/>
          <w:szCs w:val="22"/>
        </w:rPr>
        <w:t>Capital Strategy</w:t>
      </w:r>
    </w:p>
    <w:p w:rsidR="00D96241" w:rsidRPr="007D4C52" w:rsidRDefault="00D96241" w:rsidP="005804A2">
      <w:pPr>
        <w:pStyle w:val="BodyText"/>
        <w:spacing w:after="0"/>
        <w:rPr>
          <w:rFonts w:ascii="Arial" w:hAnsi="Arial" w:cs="Arial"/>
          <w:noProof/>
          <w:sz w:val="22"/>
          <w:szCs w:val="22"/>
        </w:rPr>
      </w:pPr>
    </w:p>
    <w:p w:rsidR="007D4C52" w:rsidRPr="00CE3C0B" w:rsidRDefault="007D4C52" w:rsidP="005804A2">
      <w:pPr>
        <w:numPr>
          <w:ilvl w:val="0"/>
          <w:numId w:val="1"/>
        </w:numPr>
        <w:tabs>
          <w:tab w:val="num" w:pos="0"/>
        </w:tabs>
        <w:rPr>
          <w:rFonts w:ascii="Arial" w:hAnsi="Arial" w:cs="Arial"/>
          <w:noProof/>
          <w:szCs w:val="22"/>
        </w:rPr>
      </w:pPr>
      <w:r w:rsidRPr="007D4C52">
        <w:rPr>
          <w:rFonts w:ascii="Arial" w:hAnsi="Arial" w:cs="Arial"/>
          <w:noProof/>
          <w:szCs w:val="22"/>
        </w:rPr>
        <w:t>The</w:t>
      </w:r>
      <w:r w:rsidR="00192B2D">
        <w:rPr>
          <w:rFonts w:ascii="Arial" w:hAnsi="Arial" w:cs="Arial"/>
          <w:noProof/>
          <w:szCs w:val="22"/>
        </w:rPr>
        <w:t xml:space="preserve"> </w:t>
      </w:r>
      <w:r w:rsidR="00192B2D" w:rsidRPr="00803FAA">
        <w:rPr>
          <w:rFonts w:ascii="Arial" w:hAnsi="Arial" w:cs="Arial"/>
          <w:sz w:val="22"/>
          <w:szCs w:val="22"/>
        </w:rPr>
        <w:t>revised 2017</w:t>
      </w:r>
      <w:r w:rsidR="00E43233">
        <w:rPr>
          <w:rFonts w:ascii="Arial" w:hAnsi="Arial" w:cs="Arial"/>
          <w:sz w:val="22"/>
          <w:szCs w:val="22"/>
        </w:rPr>
        <w:t xml:space="preserve"> CIPFA</w:t>
      </w:r>
      <w:r w:rsidR="00192B2D" w:rsidRPr="00803FAA">
        <w:rPr>
          <w:rFonts w:ascii="Arial" w:hAnsi="Arial" w:cs="Arial"/>
          <w:sz w:val="22"/>
          <w:szCs w:val="22"/>
        </w:rPr>
        <w:t xml:space="preserve"> Prudential and Treasury Management Codes require, for 2019-20, all local authorities to prepare an additional report, a capital strategy report, which will provide the following:</w:t>
      </w:r>
    </w:p>
    <w:p w:rsidR="00CE3C0B" w:rsidRPr="00CE3C0B" w:rsidRDefault="00CE3C0B" w:rsidP="00CE3C0B">
      <w:pPr>
        <w:pStyle w:val="ListParagraph"/>
        <w:numPr>
          <w:ilvl w:val="0"/>
          <w:numId w:val="19"/>
        </w:numPr>
        <w:rPr>
          <w:rFonts w:ascii="Arial" w:hAnsi="Arial" w:cs="Arial"/>
          <w:noProof/>
        </w:rPr>
      </w:pPr>
      <w:r w:rsidRPr="00CE3C0B">
        <w:rPr>
          <w:rFonts w:ascii="Arial" w:hAnsi="Arial" w:cs="Arial"/>
          <w:noProof/>
        </w:rPr>
        <w:t>a high-level long term overview of how capital expenditure, capital financing and treasury management activity contribute to the provision of services</w:t>
      </w:r>
    </w:p>
    <w:p w:rsidR="00CE3C0B" w:rsidRPr="00CE3C0B" w:rsidRDefault="00CE3C0B" w:rsidP="00CE3C0B">
      <w:pPr>
        <w:pStyle w:val="ListParagraph"/>
        <w:numPr>
          <w:ilvl w:val="0"/>
          <w:numId w:val="19"/>
        </w:numPr>
        <w:rPr>
          <w:rFonts w:ascii="Arial" w:hAnsi="Arial" w:cs="Arial"/>
          <w:noProof/>
        </w:rPr>
      </w:pPr>
      <w:r w:rsidRPr="00CE3C0B">
        <w:rPr>
          <w:rFonts w:ascii="Arial" w:hAnsi="Arial" w:cs="Arial"/>
          <w:noProof/>
        </w:rPr>
        <w:t>an overview of how the associated risk is managed</w:t>
      </w:r>
    </w:p>
    <w:p w:rsidR="00CE3C0B" w:rsidRPr="00CE3C0B" w:rsidRDefault="00CE3C0B" w:rsidP="00CE3C0B">
      <w:pPr>
        <w:pStyle w:val="ListParagraph"/>
        <w:numPr>
          <w:ilvl w:val="0"/>
          <w:numId w:val="19"/>
        </w:numPr>
        <w:rPr>
          <w:rFonts w:ascii="Arial" w:hAnsi="Arial" w:cs="Arial"/>
          <w:noProof/>
          <w:sz w:val="24"/>
        </w:rPr>
      </w:pPr>
      <w:r w:rsidRPr="00CE3C0B">
        <w:rPr>
          <w:rFonts w:ascii="Arial" w:hAnsi="Arial" w:cs="Arial"/>
          <w:noProof/>
        </w:rPr>
        <w:t>the implications for future financial sustainability</w:t>
      </w:r>
    </w:p>
    <w:p w:rsidR="00CE3C0B" w:rsidRPr="00CE3C0B" w:rsidRDefault="00CE3C0B" w:rsidP="00CE3C0B">
      <w:pPr>
        <w:pStyle w:val="ListParagraph"/>
        <w:ind w:left="2160"/>
        <w:rPr>
          <w:rFonts w:ascii="Arial" w:hAnsi="Arial" w:cs="Arial"/>
          <w:noProof/>
          <w:sz w:val="24"/>
        </w:rPr>
      </w:pPr>
    </w:p>
    <w:p w:rsidR="00CE3C0B" w:rsidRDefault="00CE3C0B" w:rsidP="00CE3C0B">
      <w:pPr>
        <w:numPr>
          <w:ilvl w:val="0"/>
          <w:numId w:val="1"/>
        </w:numPr>
        <w:tabs>
          <w:tab w:val="num" w:pos="0"/>
        </w:tabs>
        <w:rPr>
          <w:rFonts w:ascii="Arial" w:hAnsi="Arial" w:cs="Arial"/>
          <w:szCs w:val="24"/>
        </w:rPr>
      </w:pPr>
      <w:r w:rsidRPr="00CE3C0B">
        <w:rPr>
          <w:rFonts w:ascii="Arial" w:hAnsi="Arial" w:cs="Arial"/>
          <w:szCs w:val="24"/>
        </w:rPr>
        <w:t>The aim of this capital strategy is to ensure that all elected members on the full council fully understand the overall long-term policy objectives and resulting capital strategy requirements, governance procedures and risk appetite.</w:t>
      </w:r>
    </w:p>
    <w:p w:rsidR="00CE3C0B" w:rsidRPr="00CE3C0B" w:rsidRDefault="00CE3C0B" w:rsidP="00CE3C0B">
      <w:pPr>
        <w:ind w:left="567"/>
        <w:rPr>
          <w:rFonts w:ascii="Arial" w:hAnsi="Arial" w:cs="Arial"/>
          <w:szCs w:val="24"/>
        </w:rPr>
      </w:pPr>
    </w:p>
    <w:p w:rsidR="00CE3C0B" w:rsidRDefault="00CE3C0B" w:rsidP="00CE3C0B">
      <w:pPr>
        <w:numPr>
          <w:ilvl w:val="0"/>
          <w:numId w:val="1"/>
        </w:numPr>
        <w:rPr>
          <w:rFonts w:ascii="Arial" w:hAnsi="Arial" w:cs="Arial"/>
          <w:szCs w:val="24"/>
        </w:rPr>
      </w:pPr>
      <w:r w:rsidRPr="00CE3C0B">
        <w:rPr>
          <w:rFonts w:ascii="Arial" w:hAnsi="Arial" w:cs="Arial"/>
          <w:szCs w:val="24"/>
        </w:rPr>
        <w:t>This capital strategy is reported separately from the Treasury Management Strategy Statement; non-treasury investments will be reported through the former. This ensures the separation of the core treasury function under security, liquidity and yield principles, and the policy and commercialism investments usually driven by expenditure on an asset.  The capital strategy will show:</w:t>
      </w:r>
    </w:p>
    <w:p w:rsidR="00CE3C0B" w:rsidRDefault="00CE3C0B" w:rsidP="00CE3C0B">
      <w:pPr>
        <w:pStyle w:val="ListParagraph"/>
        <w:rPr>
          <w:rFonts w:ascii="Arial" w:hAnsi="Arial" w:cs="Arial"/>
          <w:szCs w:val="24"/>
        </w:rPr>
      </w:pPr>
    </w:p>
    <w:p w:rsidR="00CE3C0B" w:rsidRPr="00CE3C0B" w:rsidRDefault="00CE3C0B" w:rsidP="00CE3C0B">
      <w:pPr>
        <w:pStyle w:val="ListParagraph"/>
        <w:numPr>
          <w:ilvl w:val="0"/>
          <w:numId w:val="19"/>
        </w:numPr>
        <w:rPr>
          <w:rFonts w:ascii="Arial" w:hAnsi="Arial" w:cs="Arial"/>
          <w:szCs w:val="24"/>
        </w:rPr>
      </w:pPr>
      <w:r w:rsidRPr="00CE3C0B">
        <w:rPr>
          <w:rFonts w:ascii="Arial" w:hAnsi="Arial" w:cs="Arial"/>
          <w:szCs w:val="24"/>
        </w:rPr>
        <w:t>The corporate governance arrangements for these types of activities;</w:t>
      </w:r>
    </w:p>
    <w:p w:rsidR="00CE3C0B" w:rsidRPr="00CE3C0B" w:rsidRDefault="00CE3C0B" w:rsidP="00CE3C0B">
      <w:pPr>
        <w:pStyle w:val="ListParagraph"/>
        <w:numPr>
          <w:ilvl w:val="0"/>
          <w:numId w:val="19"/>
        </w:numPr>
        <w:rPr>
          <w:rFonts w:ascii="Arial" w:hAnsi="Arial" w:cs="Arial"/>
          <w:szCs w:val="24"/>
        </w:rPr>
      </w:pPr>
      <w:r w:rsidRPr="00CE3C0B">
        <w:rPr>
          <w:rFonts w:ascii="Arial" w:hAnsi="Arial" w:cs="Arial"/>
          <w:szCs w:val="24"/>
        </w:rPr>
        <w:t>Any service objectives relating to the investments;</w:t>
      </w:r>
    </w:p>
    <w:p w:rsidR="00CE3C0B" w:rsidRPr="00CE3C0B" w:rsidRDefault="00CE3C0B" w:rsidP="00CE3C0B">
      <w:pPr>
        <w:pStyle w:val="ListParagraph"/>
        <w:numPr>
          <w:ilvl w:val="0"/>
          <w:numId w:val="19"/>
        </w:numPr>
        <w:rPr>
          <w:rFonts w:ascii="Arial" w:hAnsi="Arial" w:cs="Arial"/>
          <w:szCs w:val="24"/>
        </w:rPr>
      </w:pPr>
      <w:r w:rsidRPr="00CE3C0B">
        <w:rPr>
          <w:rFonts w:ascii="Arial" w:hAnsi="Arial" w:cs="Arial"/>
          <w:szCs w:val="24"/>
        </w:rPr>
        <w:t xml:space="preserve">The expected income, costs and resulting contribution; </w:t>
      </w:r>
    </w:p>
    <w:p w:rsidR="00CE3C0B" w:rsidRPr="00CE3C0B" w:rsidRDefault="00CE3C0B" w:rsidP="00CE3C0B">
      <w:pPr>
        <w:pStyle w:val="ListParagraph"/>
        <w:numPr>
          <w:ilvl w:val="0"/>
          <w:numId w:val="19"/>
        </w:numPr>
        <w:rPr>
          <w:rFonts w:ascii="Arial" w:hAnsi="Arial" w:cs="Arial"/>
          <w:szCs w:val="24"/>
        </w:rPr>
      </w:pPr>
      <w:r w:rsidRPr="00CE3C0B">
        <w:rPr>
          <w:rFonts w:ascii="Arial" w:hAnsi="Arial" w:cs="Arial"/>
          <w:szCs w:val="24"/>
        </w:rPr>
        <w:t xml:space="preserve">The debt related to the activity and the associated interest costs; </w:t>
      </w:r>
    </w:p>
    <w:p w:rsidR="00CE3C0B" w:rsidRPr="00CE3C0B" w:rsidRDefault="00CE3C0B" w:rsidP="00CE3C0B">
      <w:pPr>
        <w:pStyle w:val="ListParagraph"/>
        <w:numPr>
          <w:ilvl w:val="0"/>
          <w:numId w:val="19"/>
        </w:numPr>
        <w:rPr>
          <w:rFonts w:ascii="Arial" w:hAnsi="Arial" w:cs="Arial"/>
          <w:szCs w:val="24"/>
        </w:rPr>
      </w:pPr>
      <w:r w:rsidRPr="00CE3C0B">
        <w:rPr>
          <w:rFonts w:ascii="Arial" w:hAnsi="Arial" w:cs="Arial"/>
          <w:szCs w:val="24"/>
        </w:rPr>
        <w:t xml:space="preserve">The payback period (MRP policy); </w:t>
      </w:r>
    </w:p>
    <w:p w:rsidR="00CE3C0B" w:rsidRPr="00CE3C0B" w:rsidRDefault="00CE3C0B" w:rsidP="00CE3C0B">
      <w:pPr>
        <w:pStyle w:val="ListParagraph"/>
        <w:numPr>
          <w:ilvl w:val="0"/>
          <w:numId w:val="19"/>
        </w:numPr>
        <w:rPr>
          <w:rFonts w:ascii="Arial" w:hAnsi="Arial" w:cs="Arial"/>
          <w:szCs w:val="24"/>
        </w:rPr>
      </w:pPr>
      <w:r w:rsidRPr="00CE3C0B">
        <w:rPr>
          <w:rFonts w:ascii="Arial" w:hAnsi="Arial" w:cs="Arial"/>
          <w:szCs w:val="24"/>
        </w:rPr>
        <w:t xml:space="preserve">For non-loan type investments, the cost against the current market value; </w:t>
      </w:r>
    </w:p>
    <w:p w:rsidR="00CE3C0B" w:rsidRPr="00CE3C0B" w:rsidRDefault="00CE3C0B" w:rsidP="00CE3C0B">
      <w:pPr>
        <w:pStyle w:val="ListParagraph"/>
        <w:numPr>
          <w:ilvl w:val="0"/>
          <w:numId w:val="19"/>
        </w:numPr>
        <w:rPr>
          <w:rFonts w:ascii="Arial" w:hAnsi="Arial" w:cs="Arial"/>
          <w:szCs w:val="24"/>
        </w:rPr>
      </w:pPr>
      <w:r w:rsidRPr="00CE3C0B">
        <w:rPr>
          <w:rFonts w:ascii="Arial" w:hAnsi="Arial" w:cs="Arial"/>
          <w:szCs w:val="24"/>
        </w:rPr>
        <w:lastRenderedPageBreak/>
        <w:t>The risks associated with each activity</w:t>
      </w:r>
    </w:p>
    <w:p w:rsidR="00CE3C0B" w:rsidRDefault="00CE3C0B" w:rsidP="00CE3C0B">
      <w:pPr>
        <w:pStyle w:val="ListParagraph"/>
        <w:rPr>
          <w:rFonts w:ascii="Arial" w:hAnsi="Arial" w:cs="Arial"/>
          <w:szCs w:val="24"/>
        </w:rPr>
      </w:pPr>
    </w:p>
    <w:p w:rsidR="00CE3C0B" w:rsidRDefault="00CE3C0B" w:rsidP="00CE3C0B">
      <w:pPr>
        <w:numPr>
          <w:ilvl w:val="0"/>
          <w:numId w:val="1"/>
        </w:numPr>
        <w:rPr>
          <w:rFonts w:ascii="Arial" w:hAnsi="Arial" w:cs="Arial"/>
          <w:szCs w:val="24"/>
        </w:rPr>
      </w:pPr>
      <w:r w:rsidRPr="00CE3C0B">
        <w:rPr>
          <w:rFonts w:ascii="Arial" w:hAnsi="Arial" w:cs="Arial"/>
          <w:szCs w:val="24"/>
        </w:rPr>
        <w:t>Where a physical asset is being bought, details of market research, advisers used, (and their monitoring), ongoing costs and investment requirements and any credit information will be disclosed, including the ability to sell the asset and realise the investment cash</w:t>
      </w:r>
      <w:r>
        <w:rPr>
          <w:rFonts w:ascii="Arial" w:hAnsi="Arial" w:cs="Arial"/>
          <w:szCs w:val="24"/>
        </w:rPr>
        <w:t>.</w:t>
      </w:r>
    </w:p>
    <w:p w:rsidR="00CE3C0B" w:rsidRDefault="00CE3C0B" w:rsidP="00CE3C0B">
      <w:pPr>
        <w:ind w:left="567"/>
        <w:rPr>
          <w:rFonts w:ascii="Arial" w:hAnsi="Arial" w:cs="Arial"/>
          <w:szCs w:val="24"/>
        </w:rPr>
      </w:pPr>
    </w:p>
    <w:p w:rsidR="00CE3C0B" w:rsidRDefault="00CE3C0B" w:rsidP="00CE3C0B">
      <w:pPr>
        <w:numPr>
          <w:ilvl w:val="0"/>
          <w:numId w:val="1"/>
        </w:numPr>
        <w:rPr>
          <w:rFonts w:ascii="Arial" w:hAnsi="Arial" w:cs="Arial"/>
          <w:szCs w:val="24"/>
        </w:rPr>
      </w:pPr>
      <w:r w:rsidRPr="00CE3C0B">
        <w:rPr>
          <w:rFonts w:ascii="Arial" w:hAnsi="Arial" w:cs="Arial"/>
          <w:szCs w:val="24"/>
        </w:rPr>
        <w:t>Where the Council has borrowed to fund any non-treasury investment, there should also be an explanation of why borrowing was required and why the MHCLG Investment Guidance and CIPFA Prudential Code have not been adhered to</w:t>
      </w:r>
      <w:r>
        <w:rPr>
          <w:rFonts w:ascii="Arial" w:hAnsi="Arial" w:cs="Arial"/>
          <w:szCs w:val="24"/>
        </w:rPr>
        <w:t>.</w:t>
      </w:r>
    </w:p>
    <w:p w:rsidR="00CE3C0B" w:rsidRDefault="00CE3C0B" w:rsidP="00CE3C0B">
      <w:pPr>
        <w:pStyle w:val="ListParagraph"/>
        <w:rPr>
          <w:rFonts w:ascii="Arial" w:hAnsi="Arial" w:cs="Arial"/>
          <w:szCs w:val="24"/>
        </w:rPr>
      </w:pPr>
    </w:p>
    <w:p w:rsidR="00CE3C0B" w:rsidRDefault="00CE3C0B" w:rsidP="00CE3C0B">
      <w:pPr>
        <w:numPr>
          <w:ilvl w:val="0"/>
          <w:numId w:val="1"/>
        </w:numPr>
        <w:rPr>
          <w:rFonts w:ascii="Arial" w:hAnsi="Arial" w:cs="Arial"/>
          <w:szCs w:val="24"/>
        </w:rPr>
      </w:pPr>
      <w:r w:rsidRPr="00CE3C0B">
        <w:rPr>
          <w:rFonts w:ascii="Arial" w:hAnsi="Arial" w:cs="Arial"/>
          <w:szCs w:val="24"/>
        </w:rPr>
        <w:t>If any non-treasury investment sustains a loss during the final accounts and audit process, the strategy and revenue implications will be reported through the same procedure as the capital strategy.</w:t>
      </w:r>
    </w:p>
    <w:p w:rsidR="00CE3C0B" w:rsidRDefault="00CE3C0B" w:rsidP="00CE3C0B">
      <w:pPr>
        <w:pStyle w:val="ListParagraph"/>
        <w:rPr>
          <w:rFonts w:ascii="Arial" w:hAnsi="Arial" w:cs="Arial"/>
          <w:szCs w:val="24"/>
        </w:rPr>
      </w:pPr>
    </w:p>
    <w:p w:rsidR="00CE3C0B" w:rsidRDefault="00CE3C0B" w:rsidP="00CE3C0B">
      <w:pPr>
        <w:numPr>
          <w:ilvl w:val="0"/>
          <w:numId w:val="1"/>
        </w:numPr>
        <w:rPr>
          <w:rFonts w:ascii="Arial" w:hAnsi="Arial" w:cs="Arial"/>
          <w:szCs w:val="24"/>
        </w:rPr>
      </w:pPr>
      <w:r w:rsidRPr="00CE3C0B">
        <w:rPr>
          <w:rFonts w:ascii="Arial" w:hAnsi="Arial" w:cs="Arial"/>
          <w:szCs w:val="24"/>
        </w:rPr>
        <w:t>To demonstrate the proportionality between the treasury operations and the non-treasury operation, high-level comparators are shown throughout this report</w:t>
      </w:r>
      <w:r>
        <w:rPr>
          <w:rFonts w:ascii="Arial" w:hAnsi="Arial" w:cs="Arial"/>
          <w:szCs w:val="24"/>
        </w:rPr>
        <w:t>.</w:t>
      </w:r>
    </w:p>
    <w:p w:rsidR="006D2134" w:rsidRDefault="006D2134" w:rsidP="006D2134">
      <w:pPr>
        <w:pStyle w:val="ListParagraph"/>
        <w:rPr>
          <w:rFonts w:ascii="Arial" w:hAnsi="Arial" w:cs="Arial"/>
          <w:szCs w:val="24"/>
        </w:rPr>
      </w:pPr>
    </w:p>
    <w:p w:rsidR="006D2134" w:rsidRPr="006D2134" w:rsidRDefault="006D2134" w:rsidP="006D2134">
      <w:pPr>
        <w:rPr>
          <w:rFonts w:ascii="Arial" w:hAnsi="Arial" w:cs="Arial"/>
          <w:b/>
          <w:szCs w:val="24"/>
        </w:rPr>
      </w:pPr>
      <w:r w:rsidRPr="006D2134">
        <w:rPr>
          <w:rFonts w:ascii="Arial" w:hAnsi="Arial" w:cs="Arial"/>
          <w:b/>
          <w:szCs w:val="24"/>
        </w:rPr>
        <w:t>Treasury Management Reporting</w:t>
      </w:r>
    </w:p>
    <w:p w:rsidR="00192B2D" w:rsidRDefault="00192B2D" w:rsidP="00CE3C0B">
      <w:pPr>
        <w:ind w:left="567"/>
        <w:rPr>
          <w:rFonts w:ascii="Arial" w:hAnsi="Arial" w:cs="Arial"/>
          <w:sz w:val="22"/>
          <w:szCs w:val="22"/>
        </w:rPr>
      </w:pPr>
    </w:p>
    <w:p w:rsidR="00D96241" w:rsidRPr="007D4C52" w:rsidRDefault="00D96241" w:rsidP="005804A2">
      <w:pPr>
        <w:numPr>
          <w:ilvl w:val="0"/>
          <w:numId w:val="1"/>
        </w:numPr>
        <w:tabs>
          <w:tab w:val="num" w:pos="0"/>
        </w:tabs>
        <w:rPr>
          <w:rFonts w:ascii="Arial" w:hAnsi="Arial" w:cs="Arial"/>
          <w:noProof/>
          <w:szCs w:val="22"/>
        </w:rPr>
      </w:pPr>
      <w:r w:rsidRPr="00D96241">
        <w:rPr>
          <w:rFonts w:ascii="Arial" w:hAnsi="Arial" w:cs="Arial"/>
          <w:noProof/>
          <w:szCs w:val="22"/>
        </w:rPr>
        <w:t>The Council is required by legislation to receive and approve, as a minimum, three main reports each year, which incorporate a variety of policies, estimates and actuals.  These reports are required to be adequately scrutinised before being recommended to the Council.  This role is undertaken by the Audit Committee</w:t>
      </w:r>
      <w:r>
        <w:rPr>
          <w:rFonts w:ascii="Arial" w:hAnsi="Arial" w:cs="Arial"/>
          <w:noProof/>
          <w:szCs w:val="22"/>
        </w:rPr>
        <w:t>.</w:t>
      </w:r>
    </w:p>
    <w:p w:rsidR="007D4C52" w:rsidRPr="007D4C52" w:rsidRDefault="007D4C52" w:rsidP="005804A2">
      <w:pPr>
        <w:pStyle w:val="BodyText"/>
        <w:spacing w:after="0"/>
        <w:rPr>
          <w:rFonts w:ascii="Arial" w:hAnsi="Arial" w:cs="Arial"/>
          <w:noProof/>
          <w:sz w:val="22"/>
          <w:szCs w:val="22"/>
        </w:rPr>
      </w:pPr>
    </w:p>
    <w:p w:rsidR="007D4C52" w:rsidRDefault="007D4C52" w:rsidP="006D2134">
      <w:pPr>
        <w:pStyle w:val="BodyText"/>
        <w:spacing w:after="0"/>
        <w:ind w:firstLine="567"/>
        <w:rPr>
          <w:rFonts w:ascii="Arial" w:hAnsi="Arial" w:cs="Arial"/>
          <w:noProof/>
          <w:szCs w:val="22"/>
        </w:rPr>
      </w:pPr>
      <w:r w:rsidRPr="007D4C52">
        <w:rPr>
          <w:rFonts w:ascii="Arial" w:hAnsi="Arial" w:cs="Arial"/>
          <w:b/>
          <w:noProof/>
          <w:szCs w:val="22"/>
        </w:rPr>
        <w:t>Prudential and Treasury Indicators and Treasury Strategy</w:t>
      </w:r>
      <w:r w:rsidRPr="007D4C52">
        <w:rPr>
          <w:rFonts w:ascii="Arial" w:hAnsi="Arial" w:cs="Arial"/>
          <w:noProof/>
          <w:szCs w:val="22"/>
        </w:rPr>
        <w:t xml:space="preserve"> (</w:t>
      </w:r>
      <w:r w:rsidR="00843642">
        <w:rPr>
          <w:rFonts w:ascii="Arial" w:hAnsi="Arial" w:cs="Arial"/>
          <w:noProof/>
          <w:szCs w:val="22"/>
        </w:rPr>
        <w:t>t</w:t>
      </w:r>
      <w:r w:rsidRPr="007D4C52">
        <w:rPr>
          <w:rFonts w:ascii="Arial" w:hAnsi="Arial" w:cs="Arial"/>
          <w:noProof/>
          <w:szCs w:val="22"/>
        </w:rPr>
        <w:t>his report)</w:t>
      </w:r>
    </w:p>
    <w:p w:rsidR="005804A2" w:rsidRPr="007D4C52" w:rsidRDefault="005804A2" w:rsidP="005804A2">
      <w:pPr>
        <w:pStyle w:val="BodyText"/>
        <w:spacing w:after="0"/>
        <w:rPr>
          <w:rFonts w:ascii="Arial" w:hAnsi="Arial" w:cs="Arial"/>
          <w:noProof/>
          <w:szCs w:val="22"/>
        </w:rPr>
      </w:pPr>
    </w:p>
    <w:p w:rsidR="007D4C52" w:rsidRDefault="007D4C52" w:rsidP="005804A2">
      <w:pPr>
        <w:numPr>
          <w:ilvl w:val="0"/>
          <w:numId w:val="1"/>
        </w:numPr>
        <w:tabs>
          <w:tab w:val="num" w:pos="0"/>
        </w:tabs>
        <w:rPr>
          <w:rFonts w:ascii="Arial" w:hAnsi="Arial" w:cs="Arial"/>
          <w:noProof/>
          <w:szCs w:val="22"/>
        </w:rPr>
      </w:pPr>
      <w:r w:rsidRPr="007D4C52">
        <w:rPr>
          <w:rFonts w:ascii="Arial" w:hAnsi="Arial" w:cs="Arial"/>
          <w:noProof/>
          <w:szCs w:val="22"/>
        </w:rPr>
        <w:t>The first, and most important report</w:t>
      </w:r>
      <w:r w:rsidR="00843642">
        <w:rPr>
          <w:rFonts w:ascii="Arial" w:hAnsi="Arial" w:cs="Arial"/>
          <w:noProof/>
          <w:szCs w:val="22"/>
        </w:rPr>
        <w:t xml:space="preserve"> is forward looking and </w:t>
      </w:r>
      <w:r w:rsidRPr="007D4C52">
        <w:rPr>
          <w:rFonts w:ascii="Arial" w:hAnsi="Arial" w:cs="Arial"/>
          <w:noProof/>
          <w:szCs w:val="22"/>
        </w:rPr>
        <w:t>covers:</w:t>
      </w:r>
      <w:r w:rsidR="005804A2">
        <w:rPr>
          <w:rFonts w:ascii="Arial" w:hAnsi="Arial" w:cs="Arial"/>
          <w:noProof/>
          <w:szCs w:val="22"/>
        </w:rPr>
        <w:br/>
      </w:r>
    </w:p>
    <w:p w:rsidR="007D4C52" w:rsidRPr="005804A2" w:rsidRDefault="00D465D6" w:rsidP="005804A2">
      <w:pPr>
        <w:numPr>
          <w:ilvl w:val="1"/>
          <w:numId w:val="1"/>
        </w:numPr>
        <w:rPr>
          <w:rFonts w:ascii="Arial" w:hAnsi="Arial" w:cs="Arial"/>
          <w:noProof/>
          <w:szCs w:val="22"/>
        </w:rPr>
      </w:pPr>
      <w:r w:rsidRPr="005804A2">
        <w:rPr>
          <w:rFonts w:ascii="Arial" w:hAnsi="Arial" w:cs="Arial"/>
          <w:noProof/>
          <w:szCs w:val="24"/>
        </w:rPr>
        <w:t>T</w:t>
      </w:r>
      <w:r w:rsidR="007D4C52" w:rsidRPr="005804A2">
        <w:rPr>
          <w:rFonts w:ascii="Arial" w:hAnsi="Arial" w:cs="Arial"/>
          <w:noProof/>
          <w:szCs w:val="24"/>
        </w:rPr>
        <w:t>he capital plans (including prudential indicators)</w:t>
      </w:r>
      <w:r w:rsidR="00843642">
        <w:rPr>
          <w:rFonts w:ascii="Arial" w:hAnsi="Arial" w:cs="Arial"/>
          <w:noProof/>
          <w:szCs w:val="24"/>
        </w:rPr>
        <w:t>;</w:t>
      </w:r>
    </w:p>
    <w:p w:rsidR="007D4C52" w:rsidRPr="0014559F" w:rsidRDefault="00251B9C" w:rsidP="005804A2">
      <w:pPr>
        <w:numPr>
          <w:ilvl w:val="1"/>
          <w:numId w:val="1"/>
        </w:numPr>
        <w:rPr>
          <w:rFonts w:ascii="Arial" w:hAnsi="Arial" w:cs="Arial"/>
          <w:noProof/>
          <w:szCs w:val="24"/>
        </w:rPr>
      </w:pPr>
      <w:r>
        <w:rPr>
          <w:rFonts w:ascii="Arial" w:hAnsi="Arial" w:cs="Arial"/>
          <w:noProof/>
          <w:szCs w:val="24"/>
        </w:rPr>
        <w:t>A</w:t>
      </w:r>
      <w:r w:rsidR="007D4C52" w:rsidRPr="007D4C52">
        <w:rPr>
          <w:rFonts w:ascii="Arial" w:hAnsi="Arial" w:cs="Arial"/>
          <w:noProof/>
          <w:szCs w:val="24"/>
        </w:rPr>
        <w:t xml:space="preserve"> </w:t>
      </w:r>
      <w:r w:rsidR="00843642">
        <w:rPr>
          <w:rFonts w:ascii="Arial" w:hAnsi="Arial" w:cs="Arial"/>
          <w:noProof/>
          <w:szCs w:val="24"/>
        </w:rPr>
        <w:t>m</w:t>
      </w:r>
      <w:r w:rsidR="007D4C52" w:rsidRPr="0014559F">
        <w:rPr>
          <w:rFonts w:ascii="Arial" w:hAnsi="Arial" w:cs="Arial"/>
          <w:noProof/>
          <w:szCs w:val="24"/>
        </w:rPr>
        <w:t xml:space="preserve">inimum </w:t>
      </w:r>
      <w:r w:rsidR="00843642">
        <w:rPr>
          <w:rFonts w:ascii="Arial" w:hAnsi="Arial" w:cs="Arial"/>
          <w:noProof/>
          <w:szCs w:val="24"/>
        </w:rPr>
        <w:t>r</w:t>
      </w:r>
      <w:r w:rsidR="007D4C52" w:rsidRPr="0014559F">
        <w:rPr>
          <w:rFonts w:ascii="Arial" w:hAnsi="Arial" w:cs="Arial"/>
          <w:noProof/>
          <w:szCs w:val="24"/>
        </w:rPr>
        <w:t xml:space="preserve">evenue </w:t>
      </w:r>
      <w:r w:rsidR="00843642">
        <w:rPr>
          <w:rFonts w:ascii="Arial" w:hAnsi="Arial" w:cs="Arial"/>
          <w:noProof/>
          <w:szCs w:val="24"/>
        </w:rPr>
        <w:t>p</w:t>
      </w:r>
      <w:r w:rsidR="007D4C52" w:rsidRPr="0014559F">
        <w:rPr>
          <w:rFonts w:ascii="Arial" w:hAnsi="Arial" w:cs="Arial"/>
          <w:noProof/>
          <w:szCs w:val="24"/>
        </w:rPr>
        <w:t xml:space="preserve">rovision </w:t>
      </w:r>
      <w:r w:rsidR="00684ABB" w:rsidRPr="0014559F">
        <w:rPr>
          <w:rFonts w:ascii="Arial" w:hAnsi="Arial" w:cs="Arial"/>
          <w:noProof/>
          <w:szCs w:val="24"/>
        </w:rPr>
        <w:t xml:space="preserve">(MRP) </w:t>
      </w:r>
      <w:r w:rsidR="00843642">
        <w:rPr>
          <w:rFonts w:ascii="Arial" w:hAnsi="Arial" w:cs="Arial"/>
          <w:noProof/>
          <w:szCs w:val="24"/>
        </w:rPr>
        <w:t>p</w:t>
      </w:r>
      <w:r w:rsidR="007D4C52" w:rsidRPr="0014559F">
        <w:rPr>
          <w:rFonts w:ascii="Arial" w:hAnsi="Arial" w:cs="Arial"/>
          <w:noProof/>
          <w:szCs w:val="24"/>
        </w:rPr>
        <w:t>olicy (how residual capital expenditure is charged to revenue over time)</w:t>
      </w:r>
      <w:r w:rsidR="00843642">
        <w:rPr>
          <w:rFonts w:ascii="Arial" w:hAnsi="Arial" w:cs="Arial"/>
          <w:noProof/>
          <w:szCs w:val="24"/>
        </w:rPr>
        <w:t>;</w:t>
      </w:r>
    </w:p>
    <w:p w:rsidR="007D4C52" w:rsidRPr="007D4C52" w:rsidRDefault="00251B9C" w:rsidP="005804A2">
      <w:pPr>
        <w:numPr>
          <w:ilvl w:val="1"/>
          <w:numId w:val="1"/>
        </w:numPr>
        <w:rPr>
          <w:rFonts w:ascii="Arial" w:hAnsi="Arial" w:cs="Arial"/>
          <w:noProof/>
          <w:szCs w:val="24"/>
        </w:rPr>
      </w:pPr>
      <w:r>
        <w:rPr>
          <w:rFonts w:ascii="Arial" w:hAnsi="Arial" w:cs="Arial"/>
          <w:noProof/>
          <w:szCs w:val="24"/>
        </w:rPr>
        <w:t>T</w:t>
      </w:r>
      <w:r w:rsidR="007D4C52" w:rsidRPr="007D4C52">
        <w:rPr>
          <w:rFonts w:ascii="Arial" w:hAnsi="Arial" w:cs="Arial"/>
          <w:noProof/>
          <w:szCs w:val="24"/>
        </w:rPr>
        <w:t xml:space="preserve">he </w:t>
      </w:r>
      <w:r w:rsidR="00843642">
        <w:rPr>
          <w:rFonts w:ascii="Arial" w:hAnsi="Arial" w:cs="Arial"/>
          <w:noProof/>
          <w:szCs w:val="24"/>
        </w:rPr>
        <w:t>t</w:t>
      </w:r>
      <w:r w:rsidR="007D4C52" w:rsidRPr="007D4C52">
        <w:rPr>
          <w:rFonts w:ascii="Arial" w:hAnsi="Arial" w:cs="Arial"/>
          <w:noProof/>
          <w:szCs w:val="24"/>
        </w:rPr>
        <w:t xml:space="preserve">reasury </w:t>
      </w:r>
      <w:r w:rsidR="00843642">
        <w:rPr>
          <w:rFonts w:ascii="Arial" w:hAnsi="Arial" w:cs="Arial"/>
          <w:noProof/>
          <w:szCs w:val="24"/>
        </w:rPr>
        <w:t>m</w:t>
      </w:r>
      <w:r w:rsidR="007D4C52" w:rsidRPr="007D4C52">
        <w:rPr>
          <w:rFonts w:ascii="Arial" w:hAnsi="Arial" w:cs="Arial"/>
          <w:noProof/>
          <w:szCs w:val="24"/>
        </w:rPr>
        <w:t xml:space="preserve">anagement </w:t>
      </w:r>
      <w:r w:rsidR="00843642">
        <w:rPr>
          <w:rFonts w:ascii="Arial" w:hAnsi="Arial" w:cs="Arial"/>
          <w:noProof/>
          <w:szCs w:val="24"/>
        </w:rPr>
        <w:t>s</w:t>
      </w:r>
      <w:r w:rsidR="007D4C52" w:rsidRPr="007D4C52">
        <w:rPr>
          <w:rFonts w:ascii="Arial" w:hAnsi="Arial" w:cs="Arial"/>
          <w:noProof/>
          <w:szCs w:val="24"/>
        </w:rPr>
        <w:t>trategy</w:t>
      </w:r>
      <w:r w:rsidR="00843642">
        <w:rPr>
          <w:rFonts w:ascii="Arial" w:hAnsi="Arial" w:cs="Arial"/>
          <w:noProof/>
          <w:szCs w:val="24"/>
        </w:rPr>
        <w:t>,</w:t>
      </w:r>
      <w:r w:rsidR="007D4C52" w:rsidRPr="007D4C52">
        <w:rPr>
          <w:rFonts w:ascii="Arial" w:hAnsi="Arial" w:cs="Arial"/>
          <w:noProof/>
          <w:szCs w:val="24"/>
        </w:rPr>
        <w:t xml:space="preserve"> (how the investments and borrowings are to be organised)</w:t>
      </w:r>
      <w:r w:rsidR="00843642">
        <w:rPr>
          <w:rFonts w:ascii="Arial" w:hAnsi="Arial" w:cs="Arial"/>
          <w:noProof/>
          <w:szCs w:val="24"/>
        </w:rPr>
        <w:t>,</w:t>
      </w:r>
      <w:r w:rsidR="007D4C52" w:rsidRPr="007D4C52">
        <w:rPr>
          <w:rFonts w:ascii="Arial" w:hAnsi="Arial" w:cs="Arial"/>
          <w:noProof/>
          <w:szCs w:val="24"/>
        </w:rPr>
        <w:t xml:space="preserve"> including treasury indicators</w:t>
      </w:r>
      <w:r w:rsidR="00843642">
        <w:rPr>
          <w:rFonts w:ascii="Arial" w:hAnsi="Arial" w:cs="Arial"/>
          <w:noProof/>
          <w:szCs w:val="24"/>
        </w:rPr>
        <w:t>; and</w:t>
      </w:r>
    </w:p>
    <w:p w:rsidR="007D4C52" w:rsidRPr="00FF32DB" w:rsidRDefault="00251B9C" w:rsidP="005804A2">
      <w:pPr>
        <w:numPr>
          <w:ilvl w:val="1"/>
          <w:numId w:val="1"/>
        </w:numPr>
        <w:rPr>
          <w:rFonts w:ascii="Arial" w:hAnsi="Arial" w:cs="Arial"/>
          <w:noProof/>
          <w:szCs w:val="24"/>
        </w:rPr>
      </w:pPr>
      <w:r w:rsidRPr="00FF32DB">
        <w:rPr>
          <w:rFonts w:ascii="Arial" w:hAnsi="Arial" w:cs="Arial"/>
          <w:noProof/>
          <w:szCs w:val="24"/>
        </w:rPr>
        <w:t>A</w:t>
      </w:r>
      <w:r w:rsidR="007D4C52" w:rsidRPr="00FF32DB">
        <w:rPr>
          <w:rFonts w:ascii="Arial" w:hAnsi="Arial" w:cs="Arial"/>
          <w:noProof/>
          <w:szCs w:val="24"/>
        </w:rPr>
        <w:t xml:space="preserve">n investment </w:t>
      </w:r>
      <w:r w:rsidR="007D4C52" w:rsidRPr="00FF32DB">
        <w:rPr>
          <w:rFonts w:ascii="Arial" w:hAnsi="Arial" w:cs="Arial"/>
          <w:szCs w:val="24"/>
        </w:rPr>
        <w:t>strategy</w:t>
      </w:r>
      <w:r w:rsidR="00843642">
        <w:rPr>
          <w:rFonts w:ascii="Arial" w:hAnsi="Arial" w:cs="Arial"/>
          <w:szCs w:val="24"/>
        </w:rPr>
        <w:t>,</w:t>
      </w:r>
      <w:r w:rsidR="007D4C52" w:rsidRPr="00FF32DB">
        <w:rPr>
          <w:rFonts w:ascii="Arial" w:hAnsi="Arial" w:cs="Arial"/>
          <w:noProof/>
          <w:szCs w:val="24"/>
        </w:rPr>
        <w:t xml:space="preserve"> (the parameters on how investments are to be managed).</w:t>
      </w:r>
    </w:p>
    <w:p w:rsidR="007D4C52" w:rsidRPr="00FF32DB" w:rsidRDefault="007D4C52" w:rsidP="005804A2">
      <w:pPr>
        <w:pStyle w:val="BodyText"/>
        <w:spacing w:after="0"/>
        <w:rPr>
          <w:rFonts w:ascii="Arial" w:hAnsi="Arial" w:cs="Arial"/>
          <w:noProof/>
          <w:szCs w:val="24"/>
        </w:rPr>
      </w:pPr>
    </w:p>
    <w:p w:rsidR="007D4C52" w:rsidRDefault="007D4C52" w:rsidP="006D2134">
      <w:pPr>
        <w:pStyle w:val="BodyText"/>
        <w:spacing w:after="0"/>
        <w:ind w:firstLine="567"/>
        <w:rPr>
          <w:rFonts w:ascii="Arial" w:hAnsi="Arial" w:cs="Arial"/>
          <w:noProof/>
          <w:szCs w:val="22"/>
        </w:rPr>
      </w:pPr>
      <w:r w:rsidRPr="007D4C52">
        <w:rPr>
          <w:rFonts w:ascii="Arial" w:hAnsi="Arial" w:cs="Arial"/>
          <w:b/>
          <w:noProof/>
          <w:szCs w:val="22"/>
        </w:rPr>
        <w:t>A Mid Year Treasury Management Report</w:t>
      </w:r>
      <w:r w:rsidRPr="007D4C52">
        <w:rPr>
          <w:rFonts w:ascii="Arial" w:hAnsi="Arial" w:cs="Arial"/>
          <w:noProof/>
          <w:szCs w:val="22"/>
        </w:rPr>
        <w:t xml:space="preserve"> </w:t>
      </w:r>
    </w:p>
    <w:p w:rsidR="005804A2" w:rsidRPr="007D4C52" w:rsidRDefault="005804A2" w:rsidP="005804A2">
      <w:pPr>
        <w:pStyle w:val="BodyText"/>
        <w:spacing w:after="0"/>
        <w:rPr>
          <w:rFonts w:ascii="Arial" w:hAnsi="Arial" w:cs="Arial"/>
          <w:noProof/>
          <w:sz w:val="22"/>
          <w:szCs w:val="22"/>
        </w:rPr>
      </w:pPr>
    </w:p>
    <w:p w:rsidR="007D4C52" w:rsidRPr="007D4C52" w:rsidRDefault="007D4C52" w:rsidP="005804A2">
      <w:pPr>
        <w:numPr>
          <w:ilvl w:val="0"/>
          <w:numId w:val="1"/>
        </w:numPr>
        <w:tabs>
          <w:tab w:val="num" w:pos="0"/>
        </w:tabs>
        <w:rPr>
          <w:rFonts w:ascii="Arial" w:hAnsi="Arial" w:cs="Arial"/>
          <w:noProof/>
          <w:szCs w:val="22"/>
        </w:rPr>
      </w:pPr>
      <w:r w:rsidRPr="007D4C52">
        <w:rPr>
          <w:rFonts w:ascii="Arial" w:hAnsi="Arial" w:cs="Arial"/>
          <w:noProof/>
          <w:szCs w:val="22"/>
        </w:rPr>
        <w:t>This will upd</w:t>
      </w:r>
      <w:r w:rsidR="00AF4F61">
        <w:rPr>
          <w:rFonts w:ascii="Arial" w:hAnsi="Arial" w:cs="Arial"/>
          <w:noProof/>
          <w:szCs w:val="22"/>
        </w:rPr>
        <w:t>ate members with the progress on</w:t>
      </w:r>
      <w:r w:rsidRPr="007D4C52">
        <w:rPr>
          <w:rFonts w:ascii="Arial" w:hAnsi="Arial" w:cs="Arial"/>
          <w:noProof/>
          <w:szCs w:val="22"/>
        </w:rPr>
        <w:t xml:space="preserve"> the capital position, amending prudential indicators as necessary, and whether the treasury function is meeting the strategy or whether any policies require revision.</w:t>
      </w:r>
    </w:p>
    <w:p w:rsidR="007D4C52" w:rsidRPr="007D4C52" w:rsidRDefault="007D4C52" w:rsidP="005804A2">
      <w:pPr>
        <w:pStyle w:val="BodyText"/>
        <w:spacing w:after="0"/>
        <w:rPr>
          <w:rFonts w:ascii="Arial" w:hAnsi="Arial" w:cs="Arial"/>
          <w:noProof/>
          <w:sz w:val="22"/>
          <w:szCs w:val="22"/>
        </w:rPr>
      </w:pPr>
    </w:p>
    <w:p w:rsidR="007D4C52" w:rsidRDefault="007D4C52" w:rsidP="006D2134">
      <w:pPr>
        <w:pStyle w:val="BodyText"/>
        <w:spacing w:after="0"/>
        <w:ind w:firstLine="567"/>
        <w:rPr>
          <w:rFonts w:ascii="Arial" w:hAnsi="Arial" w:cs="Arial"/>
          <w:noProof/>
          <w:szCs w:val="22"/>
        </w:rPr>
      </w:pPr>
      <w:r w:rsidRPr="007D4C52">
        <w:rPr>
          <w:rFonts w:ascii="Arial" w:hAnsi="Arial" w:cs="Arial"/>
          <w:b/>
          <w:noProof/>
          <w:szCs w:val="22"/>
        </w:rPr>
        <w:t>An Annual Treasury Report</w:t>
      </w:r>
      <w:r w:rsidRPr="007D4C52">
        <w:rPr>
          <w:rFonts w:ascii="Arial" w:hAnsi="Arial" w:cs="Arial"/>
          <w:noProof/>
          <w:szCs w:val="22"/>
        </w:rPr>
        <w:t xml:space="preserve"> </w:t>
      </w:r>
    </w:p>
    <w:p w:rsidR="00691F9E" w:rsidRDefault="00691F9E" w:rsidP="005804A2">
      <w:pPr>
        <w:pStyle w:val="BodyText"/>
        <w:spacing w:after="0"/>
        <w:rPr>
          <w:rFonts w:ascii="Arial" w:hAnsi="Arial" w:cs="Arial"/>
          <w:noProof/>
          <w:szCs w:val="22"/>
        </w:rPr>
      </w:pPr>
    </w:p>
    <w:p w:rsidR="007D4C52" w:rsidRDefault="007D4C52" w:rsidP="005804A2">
      <w:pPr>
        <w:numPr>
          <w:ilvl w:val="0"/>
          <w:numId w:val="1"/>
        </w:numPr>
        <w:tabs>
          <w:tab w:val="num" w:pos="0"/>
        </w:tabs>
        <w:rPr>
          <w:rFonts w:ascii="Arial" w:hAnsi="Arial" w:cs="Arial"/>
          <w:noProof/>
          <w:sz w:val="22"/>
          <w:szCs w:val="22"/>
        </w:rPr>
      </w:pPr>
      <w:r w:rsidRPr="007D4C52">
        <w:rPr>
          <w:rFonts w:ascii="Arial" w:hAnsi="Arial" w:cs="Arial"/>
          <w:noProof/>
          <w:szCs w:val="22"/>
        </w:rPr>
        <w:t xml:space="preserve">This </w:t>
      </w:r>
      <w:r w:rsidR="00B909FB">
        <w:rPr>
          <w:rFonts w:ascii="Arial" w:hAnsi="Arial" w:cs="Arial"/>
          <w:noProof/>
          <w:szCs w:val="22"/>
        </w:rPr>
        <w:t xml:space="preserve">is a backward looking review document and </w:t>
      </w:r>
      <w:r w:rsidRPr="007D4C52">
        <w:rPr>
          <w:rFonts w:ascii="Arial" w:hAnsi="Arial" w:cs="Arial"/>
          <w:noProof/>
          <w:szCs w:val="22"/>
        </w:rPr>
        <w:t>provides details of a selection of actual prudential and treasury indicators and actual treasury operations compared to the estimates within the strategy</w:t>
      </w:r>
      <w:r w:rsidRPr="007D4C52">
        <w:rPr>
          <w:rFonts w:ascii="Arial" w:hAnsi="Arial" w:cs="Arial"/>
          <w:noProof/>
          <w:sz w:val="22"/>
          <w:szCs w:val="22"/>
        </w:rPr>
        <w:t>.</w:t>
      </w:r>
    </w:p>
    <w:p w:rsidR="003529B9" w:rsidRDefault="003529B9" w:rsidP="003529B9">
      <w:pPr>
        <w:ind w:left="567"/>
        <w:rPr>
          <w:rFonts w:ascii="Arial" w:hAnsi="Arial" w:cs="Arial"/>
          <w:noProof/>
          <w:sz w:val="22"/>
          <w:szCs w:val="22"/>
        </w:rPr>
      </w:pPr>
    </w:p>
    <w:p w:rsidR="003529B9" w:rsidRPr="007D4C52" w:rsidRDefault="003529B9" w:rsidP="003529B9">
      <w:pPr>
        <w:ind w:left="567"/>
        <w:rPr>
          <w:rFonts w:ascii="Arial" w:hAnsi="Arial" w:cs="Arial"/>
          <w:noProof/>
          <w:sz w:val="22"/>
          <w:szCs w:val="22"/>
        </w:rPr>
      </w:pPr>
    </w:p>
    <w:p w:rsidR="007D4C52" w:rsidRDefault="007D4C52" w:rsidP="005804A2">
      <w:pPr>
        <w:pStyle w:val="BodyText"/>
        <w:spacing w:after="0"/>
        <w:rPr>
          <w:rFonts w:ascii="Arial" w:hAnsi="Arial" w:cs="Arial"/>
          <w:b/>
          <w:noProof/>
          <w:szCs w:val="22"/>
        </w:rPr>
      </w:pPr>
      <w:r w:rsidRPr="007D4C52">
        <w:rPr>
          <w:rFonts w:ascii="Arial" w:hAnsi="Arial" w:cs="Arial"/>
          <w:b/>
          <w:noProof/>
          <w:szCs w:val="22"/>
        </w:rPr>
        <w:lastRenderedPageBreak/>
        <w:t>Treasury Management Strategy for 201</w:t>
      </w:r>
      <w:r w:rsidR="0033229E">
        <w:rPr>
          <w:rFonts w:ascii="Arial" w:hAnsi="Arial" w:cs="Arial"/>
          <w:b/>
          <w:noProof/>
          <w:szCs w:val="22"/>
        </w:rPr>
        <w:t>9</w:t>
      </w:r>
      <w:r w:rsidR="000C1EE0">
        <w:rPr>
          <w:rFonts w:ascii="Arial" w:hAnsi="Arial" w:cs="Arial"/>
          <w:b/>
          <w:noProof/>
          <w:szCs w:val="22"/>
        </w:rPr>
        <w:t>/</w:t>
      </w:r>
      <w:r w:rsidR="0033229E">
        <w:rPr>
          <w:rFonts w:ascii="Arial" w:hAnsi="Arial" w:cs="Arial"/>
          <w:b/>
          <w:noProof/>
          <w:szCs w:val="22"/>
        </w:rPr>
        <w:t>20</w:t>
      </w:r>
    </w:p>
    <w:p w:rsidR="005804A2" w:rsidRPr="007D4C52" w:rsidRDefault="005804A2" w:rsidP="005804A2">
      <w:pPr>
        <w:pStyle w:val="BodyText"/>
        <w:spacing w:after="0"/>
        <w:rPr>
          <w:rFonts w:ascii="Arial" w:hAnsi="Arial" w:cs="Arial"/>
          <w:b/>
          <w:noProof/>
          <w:szCs w:val="22"/>
        </w:rPr>
      </w:pPr>
    </w:p>
    <w:p w:rsidR="007D4C52" w:rsidRPr="007D4C52" w:rsidRDefault="007D4C52" w:rsidP="005804A2">
      <w:pPr>
        <w:numPr>
          <w:ilvl w:val="0"/>
          <w:numId w:val="1"/>
        </w:numPr>
        <w:tabs>
          <w:tab w:val="num" w:pos="0"/>
        </w:tabs>
        <w:rPr>
          <w:rFonts w:ascii="Arial" w:hAnsi="Arial" w:cs="Arial"/>
          <w:noProof/>
          <w:szCs w:val="24"/>
        </w:rPr>
      </w:pPr>
      <w:r w:rsidRPr="007D4C52">
        <w:rPr>
          <w:rFonts w:ascii="Arial" w:hAnsi="Arial" w:cs="Arial"/>
          <w:noProof/>
          <w:szCs w:val="24"/>
        </w:rPr>
        <w:t>The strategy for 201</w:t>
      </w:r>
      <w:r w:rsidR="0033229E">
        <w:rPr>
          <w:rFonts w:ascii="Arial" w:hAnsi="Arial" w:cs="Arial"/>
          <w:noProof/>
          <w:szCs w:val="24"/>
        </w:rPr>
        <w:t>9</w:t>
      </w:r>
      <w:r w:rsidR="000C1EE0">
        <w:rPr>
          <w:rFonts w:ascii="Arial" w:hAnsi="Arial" w:cs="Arial"/>
          <w:noProof/>
          <w:szCs w:val="24"/>
        </w:rPr>
        <w:t>/</w:t>
      </w:r>
      <w:r w:rsidR="0033229E">
        <w:rPr>
          <w:rFonts w:ascii="Arial" w:hAnsi="Arial" w:cs="Arial"/>
          <w:noProof/>
          <w:szCs w:val="24"/>
        </w:rPr>
        <w:t>20</w:t>
      </w:r>
      <w:r w:rsidRPr="007D4C52">
        <w:rPr>
          <w:rFonts w:ascii="Arial" w:hAnsi="Arial" w:cs="Arial"/>
          <w:noProof/>
          <w:szCs w:val="24"/>
        </w:rPr>
        <w:t xml:space="preserve"> covers two main areas:</w:t>
      </w:r>
    </w:p>
    <w:p w:rsidR="007D4C52" w:rsidRPr="007D4C52" w:rsidRDefault="007D4C52" w:rsidP="005804A2">
      <w:pPr>
        <w:pStyle w:val="BodyText"/>
        <w:spacing w:after="0"/>
        <w:jc w:val="both"/>
        <w:rPr>
          <w:rFonts w:ascii="Arial" w:hAnsi="Arial" w:cs="Arial"/>
          <w:noProof/>
          <w:szCs w:val="24"/>
        </w:rPr>
      </w:pPr>
    </w:p>
    <w:p w:rsidR="007D4C52" w:rsidRDefault="007D4C52" w:rsidP="0062063B">
      <w:pPr>
        <w:numPr>
          <w:ilvl w:val="1"/>
          <w:numId w:val="1"/>
        </w:numPr>
        <w:rPr>
          <w:rFonts w:ascii="Arial" w:hAnsi="Arial" w:cs="Arial"/>
          <w:noProof/>
          <w:szCs w:val="24"/>
        </w:rPr>
      </w:pPr>
      <w:r w:rsidRPr="007D4C52">
        <w:rPr>
          <w:rFonts w:ascii="Arial" w:hAnsi="Arial" w:cs="Arial"/>
          <w:noProof/>
          <w:szCs w:val="24"/>
        </w:rPr>
        <w:t>Capital Issues</w:t>
      </w:r>
      <w:r w:rsidR="00A60652">
        <w:rPr>
          <w:rFonts w:ascii="Arial" w:hAnsi="Arial" w:cs="Arial"/>
          <w:noProof/>
          <w:szCs w:val="24"/>
        </w:rPr>
        <w:t>:</w:t>
      </w:r>
    </w:p>
    <w:p w:rsidR="007D4C52" w:rsidRPr="0033229E" w:rsidRDefault="007D4C52" w:rsidP="0033229E">
      <w:pPr>
        <w:pStyle w:val="ListParagraph"/>
        <w:numPr>
          <w:ilvl w:val="4"/>
          <w:numId w:val="1"/>
        </w:numPr>
        <w:rPr>
          <w:rFonts w:ascii="Arial" w:hAnsi="Arial" w:cs="Arial"/>
          <w:noProof/>
          <w:szCs w:val="24"/>
        </w:rPr>
      </w:pPr>
      <w:r w:rsidRPr="0033229E">
        <w:rPr>
          <w:rFonts w:ascii="Arial" w:hAnsi="Arial" w:cs="Arial"/>
          <w:noProof/>
          <w:szCs w:val="24"/>
        </w:rPr>
        <w:t xml:space="preserve">the capital </w:t>
      </w:r>
      <w:r w:rsidR="0033229E">
        <w:rPr>
          <w:rFonts w:ascii="Arial" w:hAnsi="Arial" w:cs="Arial"/>
          <w:noProof/>
          <w:szCs w:val="24"/>
        </w:rPr>
        <w:t xml:space="preserve">expenditure </w:t>
      </w:r>
      <w:r w:rsidRPr="0033229E">
        <w:rPr>
          <w:rFonts w:ascii="Arial" w:hAnsi="Arial" w:cs="Arial"/>
          <w:noProof/>
          <w:szCs w:val="24"/>
        </w:rPr>
        <w:t>plans and the prudential indicators;</w:t>
      </w:r>
    </w:p>
    <w:p w:rsidR="007D4C52" w:rsidRPr="007D4C52" w:rsidRDefault="007D4C52" w:rsidP="0033229E">
      <w:pPr>
        <w:numPr>
          <w:ilvl w:val="4"/>
          <w:numId w:val="1"/>
        </w:numPr>
        <w:rPr>
          <w:rFonts w:ascii="Arial" w:hAnsi="Arial" w:cs="Arial"/>
          <w:noProof/>
          <w:szCs w:val="24"/>
        </w:rPr>
      </w:pPr>
      <w:r w:rsidRPr="007D4C52">
        <w:rPr>
          <w:rFonts w:ascii="Arial" w:hAnsi="Arial" w:cs="Arial"/>
          <w:noProof/>
          <w:szCs w:val="24"/>
        </w:rPr>
        <w:t xml:space="preserve">the </w:t>
      </w:r>
      <w:r w:rsidR="0033229E">
        <w:rPr>
          <w:rFonts w:ascii="Arial" w:hAnsi="Arial" w:cs="Arial"/>
          <w:noProof/>
          <w:szCs w:val="24"/>
        </w:rPr>
        <w:t>minimum revenue provision (</w:t>
      </w:r>
      <w:r w:rsidRPr="007D4C52">
        <w:rPr>
          <w:rFonts w:ascii="Arial" w:hAnsi="Arial" w:cs="Arial"/>
          <w:noProof/>
          <w:szCs w:val="24"/>
        </w:rPr>
        <w:t>MRP</w:t>
      </w:r>
      <w:r w:rsidR="0033229E">
        <w:rPr>
          <w:rFonts w:ascii="Arial" w:hAnsi="Arial" w:cs="Arial"/>
          <w:noProof/>
          <w:szCs w:val="24"/>
        </w:rPr>
        <w:t>)</w:t>
      </w:r>
      <w:r w:rsidRPr="007D4C52">
        <w:rPr>
          <w:rFonts w:ascii="Arial" w:hAnsi="Arial" w:cs="Arial"/>
          <w:noProof/>
          <w:szCs w:val="24"/>
        </w:rPr>
        <w:t xml:space="preserve"> </w:t>
      </w:r>
      <w:r w:rsidR="0033229E">
        <w:rPr>
          <w:rFonts w:ascii="Arial" w:hAnsi="Arial" w:cs="Arial"/>
          <w:noProof/>
          <w:szCs w:val="24"/>
        </w:rPr>
        <w:t>policy</w:t>
      </w:r>
      <w:r w:rsidRPr="007D4C52">
        <w:rPr>
          <w:rFonts w:ascii="Arial" w:hAnsi="Arial" w:cs="Arial"/>
          <w:noProof/>
          <w:szCs w:val="24"/>
        </w:rPr>
        <w:t>.</w:t>
      </w:r>
    </w:p>
    <w:p w:rsidR="007D4C52" w:rsidRPr="007D4C52" w:rsidRDefault="007D4C52" w:rsidP="005804A2">
      <w:pPr>
        <w:ind w:left="285"/>
        <w:rPr>
          <w:rFonts w:ascii="Arial" w:hAnsi="Arial" w:cs="Arial"/>
          <w:noProof/>
          <w:szCs w:val="24"/>
        </w:rPr>
      </w:pPr>
    </w:p>
    <w:p w:rsidR="007D4C52" w:rsidRDefault="008A2AA1" w:rsidP="005804A2">
      <w:pPr>
        <w:numPr>
          <w:ilvl w:val="1"/>
          <w:numId w:val="1"/>
        </w:numPr>
        <w:rPr>
          <w:rFonts w:ascii="Arial" w:hAnsi="Arial" w:cs="Arial"/>
          <w:noProof/>
          <w:szCs w:val="24"/>
        </w:rPr>
      </w:pPr>
      <w:r>
        <w:rPr>
          <w:rFonts w:ascii="Arial" w:hAnsi="Arial" w:cs="Arial"/>
          <w:noProof/>
          <w:szCs w:val="24"/>
        </w:rPr>
        <w:t>Treasury M</w:t>
      </w:r>
      <w:r w:rsidR="007D4C52" w:rsidRPr="007D4C52">
        <w:rPr>
          <w:rFonts w:ascii="Arial" w:hAnsi="Arial" w:cs="Arial"/>
          <w:noProof/>
          <w:szCs w:val="24"/>
        </w:rPr>
        <w:t>anagement Issues</w:t>
      </w:r>
      <w:r w:rsidR="00A60652">
        <w:rPr>
          <w:rFonts w:ascii="Arial" w:hAnsi="Arial" w:cs="Arial"/>
          <w:noProof/>
          <w:szCs w:val="24"/>
        </w:rPr>
        <w:t>:</w:t>
      </w:r>
    </w:p>
    <w:p w:rsidR="007D4C52" w:rsidRPr="007D4C52" w:rsidRDefault="007D4C52" w:rsidP="0033229E">
      <w:pPr>
        <w:numPr>
          <w:ilvl w:val="4"/>
          <w:numId w:val="1"/>
        </w:numPr>
        <w:tabs>
          <w:tab w:val="left" w:pos="1560"/>
        </w:tabs>
        <w:rPr>
          <w:rFonts w:ascii="Arial" w:hAnsi="Arial" w:cs="Arial"/>
          <w:noProof/>
          <w:szCs w:val="24"/>
        </w:rPr>
      </w:pPr>
      <w:r w:rsidRPr="007D4C52">
        <w:rPr>
          <w:rFonts w:ascii="Arial" w:hAnsi="Arial" w:cs="Arial"/>
          <w:noProof/>
          <w:szCs w:val="24"/>
        </w:rPr>
        <w:t>the current treasury position;</w:t>
      </w:r>
    </w:p>
    <w:p w:rsidR="007D4C52" w:rsidRPr="007D4C52" w:rsidRDefault="00FF32DB" w:rsidP="0033229E">
      <w:pPr>
        <w:numPr>
          <w:ilvl w:val="4"/>
          <w:numId w:val="1"/>
        </w:numPr>
        <w:tabs>
          <w:tab w:val="left" w:pos="1560"/>
        </w:tabs>
        <w:rPr>
          <w:rFonts w:ascii="Arial" w:hAnsi="Arial" w:cs="Arial"/>
          <w:noProof/>
          <w:szCs w:val="24"/>
        </w:rPr>
      </w:pPr>
      <w:r>
        <w:rPr>
          <w:rFonts w:ascii="Arial" w:hAnsi="Arial" w:cs="Arial"/>
          <w:noProof/>
          <w:szCs w:val="24"/>
        </w:rPr>
        <w:t xml:space="preserve">treasury indicators </w:t>
      </w:r>
      <w:r w:rsidR="007D4C52" w:rsidRPr="007D4C52">
        <w:rPr>
          <w:rFonts w:ascii="Arial" w:hAnsi="Arial" w:cs="Arial"/>
          <w:noProof/>
          <w:szCs w:val="24"/>
        </w:rPr>
        <w:t>which will limit the treasury risk and activities of the Council;</w:t>
      </w:r>
    </w:p>
    <w:p w:rsidR="007D4C52" w:rsidRPr="007D4C52" w:rsidRDefault="007D4C52" w:rsidP="0033229E">
      <w:pPr>
        <w:numPr>
          <w:ilvl w:val="4"/>
          <w:numId w:val="1"/>
        </w:numPr>
        <w:tabs>
          <w:tab w:val="left" w:pos="1560"/>
        </w:tabs>
        <w:rPr>
          <w:rFonts w:ascii="Arial" w:hAnsi="Arial" w:cs="Arial"/>
          <w:noProof/>
          <w:szCs w:val="24"/>
        </w:rPr>
      </w:pPr>
      <w:r w:rsidRPr="007D4C52">
        <w:rPr>
          <w:rFonts w:ascii="Arial" w:hAnsi="Arial" w:cs="Arial"/>
          <w:noProof/>
          <w:szCs w:val="24"/>
        </w:rPr>
        <w:t>prospects for interest rates;</w:t>
      </w:r>
    </w:p>
    <w:p w:rsidR="007D4C52" w:rsidRPr="007D4C52" w:rsidRDefault="007D4C52" w:rsidP="0033229E">
      <w:pPr>
        <w:numPr>
          <w:ilvl w:val="4"/>
          <w:numId w:val="1"/>
        </w:numPr>
        <w:tabs>
          <w:tab w:val="left" w:pos="1560"/>
        </w:tabs>
        <w:rPr>
          <w:rFonts w:ascii="Arial" w:hAnsi="Arial" w:cs="Arial"/>
          <w:noProof/>
          <w:szCs w:val="24"/>
        </w:rPr>
      </w:pPr>
      <w:r w:rsidRPr="007D4C52">
        <w:rPr>
          <w:rFonts w:ascii="Arial" w:hAnsi="Arial" w:cs="Arial"/>
          <w:noProof/>
          <w:szCs w:val="24"/>
        </w:rPr>
        <w:t>the borrowing strategy;</w:t>
      </w:r>
    </w:p>
    <w:p w:rsidR="007D4C52" w:rsidRPr="007D4C52" w:rsidRDefault="007D4C52" w:rsidP="0033229E">
      <w:pPr>
        <w:numPr>
          <w:ilvl w:val="4"/>
          <w:numId w:val="1"/>
        </w:numPr>
        <w:tabs>
          <w:tab w:val="left" w:pos="1560"/>
        </w:tabs>
        <w:rPr>
          <w:rFonts w:ascii="Arial" w:hAnsi="Arial" w:cs="Arial"/>
          <w:noProof/>
          <w:szCs w:val="24"/>
        </w:rPr>
      </w:pPr>
      <w:r w:rsidRPr="007D4C52">
        <w:rPr>
          <w:rFonts w:ascii="Arial" w:hAnsi="Arial" w:cs="Arial"/>
          <w:noProof/>
          <w:szCs w:val="24"/>
        </w:rPr>
        <w:t>policy on borrowing in advance of need;</w:t>
      </w:r>
    </w:p>
    <w:p w:rsidR="007D4C52" w:rsidRPr="007D4C52" w:rsidRDefault="007D4C52" w:rsidP="0033229E">
      <w:pPr>
        <w:numPr>
          <w:ilvl w:val="4"/>
          <w:numId w:val="1"/>
        </w:numPr>
        <w:tabs>
          <w:tab w:val="left" w:pos="1560"/>
        </w:tabs>
        <w:rPr>
          <w:rFonts w:ascii="Arial" w:hAnsi="Arial" w:cs="Arial"/>
          <w:noProof/>
          <w:szCs w:val="24"/>
        </w:rPr>
      </w:pPr>
      <w:r w:rsidRPr="007D4C52">
        <w:rPr>
          <w:rFonts w:ascii="Arial" w:hAnsi="Arial" w:cs="Arial"/>
          <w:noProof/>
          <w:szCs w:val="24"/>
        </w:rPr>
        <w:t>debt rescheduling;</w:t>
      </w:r>
    </w:p>
    <w:p w:rsidR="007D4C52" w:rsidRPr="007D4C52" w:rsidRDefault="007D4C52" w:rsidP="0033229E">
      <w:pPr>
        <w:numPr>
          <w:ilvl w:val="4"/>
          <w:numId w:val="1"/>
        </w:numPr>
        <w:tabs>
          <w:tab w:val="left" w:pos="1560"/>
        </w:tabs>
        <w:rPr>
          <w:rFonts w:ascii="Arial" w:hAnsi="Arial" w:cs="Arial"/>
          <w:noProof/>
          <w:szCs w:val="24"/>
        </w:rPr>
      </w:pPr>
      <w:r w:rsidRPr="007D4C52">
        <w:rPr>
          <w:rFonts w:ascii="Arial" w:hAnsi="Arial" w:cs="Arial"/>
          <w:noProof/>
          <w:szCs w:val="24"/>
        </w:rPr>
        <w:t>the investment strategy;</w:t>
      </w:r>
    </w:p>
    <w:p w:rsidR="007D4C52" w:rsidRPr="007D4C52" w:rsidRDefault="007D4C52" w:rsidP="0033229E">
      <w:pPr>
        <w:numPr>
          <w:ilvl w:val="4"/>
          <w:numId w:val="1"/>
        </w:numPr>
        <w:tabs>
          <w:tab w:val="left" w:pos="1560"/>
        </w:tabs>
        <w:rPr>
          <w:rFonts w:ascii="Arial" w:hAnsi="Arial" w:cs="Arial"/>
          <w:noProof/>
          <w:szCs w:val="24"/>
        </w:rPr>
      </w:pPr>
      <w:r w:rsidRPr="007D4C52">
        <w:rPr>
          <w:rFonts w:ascii="Arial" w:hAnsi="Arial" w:cs="Arial"/>
          <w:noProof/>
          <w:szCs w:val="24"/>
        </w:rPr>
        <w:t>creditworthiness policy; and</w:t>
      </w:r>
    </w:p>
    <w:p w:rsidR="007D4C52" w:rsidRPr="007D4C52" w:rsidRDefault="007D4C52" w:rsidP="0033229E">
      <w:pPr>
        <w:numPr>
          <w:ilvl w:val="4"/>
          <w:numId w:val="1"/>
        </w:numPr>
        <w:tabs>
          <w:tab w:val="left" w:pos="1560"/>
        </w:tabs>
        <w:rPr>
          <w:rFonts w:ascii="Arial" w:hAnsi="Arial" w:cs="Arial"/>
          <w:noProof/>
          <w:szCs w:val="24"/>
        </w:rPr>
      </w:pPr>
      <w:r w:rsidRPr="007D4C52">
        <w:rPr>
          <w:rFonts w:ascii="Arial" w:hAnsi="Arial" w:cs="Arial"/>
          <w:noProof/>
          <w:szCs w:val="24"/>
        </w:rPr>
        <w:t>policy on use of external service providers.</w:t>
      </w:r>
    </w:p>
    <w:p w:rsidR="007D4C52" w:rsidRPr="007D4C52" w:rsidRDefault="007D4C52" w:rsidP="005804A2">
      <w:pPr>
        <w:rPr>
          <w:rFonts w:ascii="Arial" w:hAnsi="Arial" w:cs="Arial"/>
          <w:noProof/>
          <w:sz w:val="22"/>
          <w:szCs w:val="22"/>
        </w:rPr>
      </w:pPr>
    </w:p>
    <w:p w:rsidR="007D4C52" w:rsidRDefault="007D4C52" w:rsidP="005804A2">
      <w:pPr>
        <w:numPr>
          <w:ilvl w:val="0"/>
          <w:numId w:val="1"/>
        </w:numPr>
        <w:tabs>
          <w:tab w:val="num" w:pos="0"/>
        </w:tabs>
        <w:rPr>
          <w:rFonts w:ascii="Arial" w:hAnsi="Arial" w:cs="Arial"/>
          <w:noProof/>
          <w:szCs w:val="24"/>
        </w:rPr>
      </w:pPr>
      <w:r w:rsidRPr="007D4C52">
        <w:rPr>
          <w:rFonts w:ascii="Arial" w:hAnsi="Arial" w:cs="Arial"/>
          <w:noProof/>
          <w:szCs w:val="24"/>
        </w:rPr>
        <w:t xml:space="preserve">These elements cover the requirements of the Local Government Act 2003, the CIPFA Prudential Code, </w:t>
      </w:r>
      <w:r w:rsidR="0069444F">
        <w:rPr>
          <w:rFonts w:ascii="Arial" w:hAnsi="Arial" w:cs="Arial"/>
          <w:noProof/>
          <w:szCs w:val="24"/>
        </w:rPr>
        <w:t>MH</w:t>
      </w:r>
      <w:r w:rsidRPr="007D4C52">
        <w:rPr>
          <w:rFonts w:ascii="Arial" w:hAnsi="Arial" w:cs="Arial"/>
          <w:noProof/>
          <w:szCs w:val="24"/>
        </w:rPr>
        <w:t xml:space="preserve">CLG MRP Guidance, the CIPFA Treasury Management Code and the </w:t>
      </w:r>
      <w:r w:rsidR="0069444F">
        <w:rPr>
          <w:rFonts w:ascii="Arial" w:hAnsi="Arial" w:cs="Arial"/>
          <w:noProof/>
          <w:szCs w:val="24"/>
        </w:rPr>
        <w:t>MH</w:t>
      </w:r>
      <w:r w:rsidRPr="007D4C52">
        <w:rPr>
          <w:rFonts w:ascii="Arial" w:hAnsi="Arial" w:cs="Arial"/>
          <w:noProof/>
          <w:szCs w:val="24"/>
        </w:rPr>
        <w:t>CLG Investment Guidance.</w:t>
      </w:r>
    </w:p>
    <w:p w:rsidR="007D4C52" w:rsidRPr="007D4C52" w:rsidRDefault="007D4C52" w:rsidP="005804A2">
      <w:pPr>
        <w:rPr>
          <w:rFonts w:ascii="Arial" w:hAnsi="Arial" w:cs="Arial"/>
          <w:noProof/>
          <w:szCs w:val="24"/>
        </w:rPr>
      </w:pPr>
    </w:p>
    <w:p w:rsidR="007D4C52" w:rsidRPr="007D0828" w:rsidRDefault="007D4C52" w:rsidP="005804A2">
      <w:pPr>
        <w:numPr>
          <w:ilvl w:val="0"/>
          <w:numId w:val="1"/>
        </w:numPr>
        <w:tabs>
          <w:tab w:val="num" w:pos="0"/>
        </w:tabs>
        <w:rPr>
          <w:rFonts w:ascii="Arial" w:hAnsi="Arial" w:cs="Arial"/>
          <w:noProof/>
          <w:szCs w:val="24"/>
        </w:rPr>
      </w:pPr>
      <w:r w:rsidRPr="007D0828">
        <w:rPr>
          <w:rFonts w:ascii="Arial" w:hAnsi="Arial" w:cs="Arial"/>
          <w:noProof/>
          <w:szCs w:val="24"/>
        </w:rPr>
        <w:t xml:space="preserve">A summary of the key prudential indicators and limits are contained inTables 1 </w:t>
      </w:r>
      <w:r w:rsidR="00781350" w:rsidRPr="007D0828">
        <w:rPr>
          <w:rFonts w:ascii="Arial" w:hAnsi="Arial" w:cs="Arial"/>
          <w:noProof/>
          <w:szCs w:val="24"/>
        </w:rPr>
        <w:t>and 2 and further details are contained further on in this report.</w:t>
      </w:r>
    </w:p>
    <w:p w:rsidR="007D4C52" w:rsidRPr="007D0828" w:rsidRDefault="007D4C52" w:rsidP="005804A2">
      <w:pPr>
        <w:rPr>
          <w:rFonts w:ascii="Arial" w:hAnsi="Arial" w:cs="Arial"/>
          <w:noProof/>
          <w:szCs w:val="24"/>
        </w:rPr>
      </w:pPr>
    </w:p>
    <w:p w:rsidR="007D4C52" w:rsidRPr="007D0828" w:rsidRDefault="007D4C52" w:rsidP="005804A2">
      <w:pPr>
        <w:pStyle w:val="HEADING"/>
        <w:tabs>
          <w:tab w:val="left" w:pos="360"/>
          <w:tab w:val="left" w:pos="454"/>
        </w:tabs>
        <w:ind w:left="720"/>
        <w:rPr>
          <w:rFonts w:ascii="Arial" w:hAnsi="Arial" w:cs="Arial"/>
          <w:bCs/>
        </w:rPr>
      </w:pPr>
      <w:r w:rsidRPr="007D0828">
        <w:rPr>
          <w:rFonts w:ascii="Arial" w:hAnsi="Arial" w:cs="Arial"/>
          <w:bCs/>
        </w:rPr>
        <w:t>Table 1 – Capital Expenditure and Borrowing</w:t>
      </w:r>
    </w:p>
    <w:p w:rsidR="00D465D6" w:rsidRPr="008D7D6A" w:rsidRDefault="00D465D6" w:rsidP="005804A2">
      <w:pPr>
        <w:pStyle w:val="HEADING"/>
        <w:tabs>
          <w:tab w:val="left" w:pos="360"/>
          <w:tab w:val="left" w:pos="454"/>
        </w:tabs>
        <w:ind w:left="720"/>
        <w:rPr>
          <w:rFonts w:ascii="Arial" w:hAnsi="Arial" w:cs="Arial"/>
          <w:bCs/>
          <w:highlight w:val="yellow"/>
        </w:rPr>
      </w:pPr>
    </w:p>
    <w:tbl>
      <w:tblPr>
        <w:tblW w:w="8712"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9"/>
        <w:gridCol w:w="1417"/>
        <w:gridCol w:w="1418"/>
        <w:gridCol w:w="1417"/>
        <w:gridCol w:w="1531"/>
      </w:tblGrid>
      <w:tr w:rsidR="00F45AC7" w:rsidRPr="008D7D6A" w:rsidTr="0077594B">
        <w:tc>
          <w:tcPr>
            <w:tcW w:w="2929" w:type="dxa"/>
            <w:shd w:val="clear" w:color="auto" w:fill="D9D9D9"/>
          </w:tcPr>
          <w:p w:rsidR="00F45AC7" w:rsidRPr="00506683" w:rsidRDefault="00F45AC7" w:rsidP="005804A2">
            <w:pPr>
              <w:pStyle w:val="BodyText"/>
              <w:spacing w:after="0"/>
              <w:rPr>
                <w:rFonts w:ascii="Arial" w:hAnsi="Arial" w:cs="Arial"/>
                <w:szCs w:val="22"/>
              </w:rPr>
            </w:pPr>
          </w:p>
        </w:tc>
        <w:tc>
          <w:tcPr>
            <w:tcW w:w="1417" w:type="dxa"/>
            <w:shd w:val="clear" w:color="auto" w:fill="D9D9D9"/>
          </w:tcPr>
          <w:p w:rsidR="00F45AC7" w:rsidRPr="00506683" w:rsidRDefault="00F45AC7" w:rsidP="00E03F05">
            <w:pPr>
              <w:pStyle w:val="BodyText"/>
              <w:spacing w:after="0"/>
              <w:jc w:val="center"/>
              <w:rPr>
                <w:rFonts w:ascii="Arial" w:hAnsi="Arial" w:cs="Arial"/>
                <w:b/>
                <w:bCs/>
                <w:szCs w:val="22"/>
              </w:rPr>
            </w:pPr>
            <w:r w:rsidRPr="00506683">
              <w:rPr>
                <w:rFonts w:ascii="Arial" w:hAnsi="Arial" w:cs="Arial"/>
                <w:b/>
                <w:bCs/>
                <w:szCs w:val="22"/>
              </w:rPr>
              <w:t>201</w:t>
            </w:r>
            <w:r w:rsidR="00E03F05" w:rsidRPr="00506683">
              <w:rPr>
                <w:rFonts w:ascii="Arial" w:hAnsi="Arial" w:cs="Arial"/>
                <w:b/>
                <w:bCs/>
                <w:szCs w:val="22"/>
              </w:rPr>
              <w:t>8</w:t>
            </w:r>
            <w:r w:rsidRPr="00506683">
              <w:rPr>
                <w:rFonts w:ascii="Arial" w:hAnsi="Arial" w:cs="Arial"/>
                <w:b/>
                <w:bCs/>
                <w:szCs w:val="22"/>
              </w:rPr>
              <w:t>/1</w:t>
            </w:r>
            <w:r w:rsidR="00E03F05" w:rsidRPr="00506683">
              <w:rPr>
                <w:rFonts w:ascii="Arial" w:hAnsi="Arial" w:cs="Arial"/>
                <w:b/>
                <w:bCs/>
                <w:szCs w:val="22"/>
              </w:rPr>
              <w:t>9</w:t>
            </w:r>
          </w:p>
          <w:p w:rsidR="00F45AC7" w:rsidRPr="00506683" w:rsidRDefault="00F45AC7" w:rsidP="00E03F05">
            <w:pPr>
              <w:pStyle w:val="BodyText"/>
              <w:spacing w:after="0"/>
              <w:jc w:val="center"/>
              <w:rPr>
                <w:rFonts w:ascii="Arial" w:hAnsi="Arial" w:cs="Arial"/>
                <w:b/>
                <w:bCs/>
                <w:szCs w:val="22"/>
              </w:rPr>
            </w:pPr>
            <w:r w:rsidRPr="00506683">
              <w:rPr>
                <w:rFonts w:ascii="Arial" w:hAnsi="Arial" w:cs="Arial"/>
                <w:b/>
                <w:bCs/>
                <w:szCs w:val="22"/>
              </w:rPr>
              <w:t>Revised</w:t>
            </w:r>
          </w:p>
        </w:tc>
        <w:tc>
          <w:tcPr>
            <w:tcW w:w="1418" w:type="dxa"/>
            <w:shd w:val="clear" w:color="auto" w:fill="D9D9D9"/>
          </w:tcPr>
          <w:p w:rsidR="00F45AC7" w:rsidRPr="00506683" w:rsidRDefault="00F45AC7" w:rsidP="00E03F05">
            <w:pPr>
              <w:pStyle w:val="BodyText"/>
              <w:spacing w:after="0"/>
              <w:jc w:val="center"/>
              <w:rPr>
                <w:rFonts w:ascii="Arial" w:hAnsi="Arial" w:cs="Arial"/>
                <w:b/>
                <w:bCs/>
                <w:szCs w:val="22"/>
              </w:rPr>
            </w:pPr>
            <w:r w:rsidRPr="00506683">
              <w:rPr>
                <w:rFonts w:ascii="Arial" w:hAnsi="Arial" w:cs="Arial"/>
                <w:b/>
                <w:bCs/>
                <w:szCs w:val="22"/>
              </w:rPr>
              <w:t>201</w:t>
            </w:r>
            <w:r w:rsidR="00E03F05" w:rsidRPr="00506683">
              <w:rPr>
                <w:rFonts w:ascii="Arial" w:hAnsi="Arial" w:cs="Arial"/>
                <w:b/>
                <w:bCs/>
                <w:szCs w:val="22"/>
              </w:rPr>
              <w:t>9</w:t>
            </w:r>
            <w:r w:rsidRPr="00506683">
              <w:rPr>
                <w:rFonts w:ascii="Arial" w:hAnsi="Arial" w:cs="Arial"/>
                <w:b/>
                <w:bCs/>
                <w:szCs w:val="22"/>
              </w:rPr>
              <w:t>/</w:t>
            </w:r>
            <w:r w:rsidR="00E03F05" w:rsidRPr="00506683">
              <w:rPr>
                <w:rFonts w:ascii="Arial" w:hAnsi="Arial" w:cs="Arial"/>
                <w:b/>
                <w:bCs/>
                <w:szCs w:val="22"/>
              </w:rPr>
              <w:t>20</w:t>
            </w:r>
          </w:p>
          <w:p w:rsidR="00F45AC7" w:rsidRPr="00506683" w:rsidRDefault="00F45AC7" w:rsidP="00E03F05">
            <w:pPr>
              <w:pStyle w:val="BodyText"/>
              <w:spacing w:after="0"/>
              <w:jc w:val="center"/>
              <w:rPr>
                <w:rFonts w:ascii="Arial" w:hAnsi="Arial" w:cs="Arial"/>
                <w:b/>
                <w:bCs/>
                <w:szCs w:val="22"/>
              </w:rPr>
            </w:pPr>
            <w:r w:rsidRPr="00506683">
              <w:rPr>
                <w:rFonts w:ascii="Arial" w:hAnsi="Arial" w:cs="Arial"/>
                <w:b/>
                <w:bCs/>
                <w:szCs w:val="22"/>
              </w:rPr>
              <w:t>Estimated</w:t>
            </w:r>
          </w:p>
        </w:tc>
        <w:tc>
          <w:tcPr>
            <w:tcW w:w="1417" w:type="dxa"/>
            <w:shd w:val="clear" w:color="auto" w:fill="D9D9D9"/>
          </w:tcPr>
          <w:p w:rsidR="00F45AC7" w:rsidRPr="00506683" w:rsidRDefault="00F45AC7" w:rsidP="00E03F05">
            <w:pPr>
              <w:pStyle w:val="BodyText"/>
              <w:spacing w:after="0"/>
              <w:jc w:val="center"/>
              <w:rPr>
                <w:rFonts w:ascii="Arial" w:hAnsi="Arial" w:cs="Arial"/>
                <w:b/>
                <w:bCs/>
                <w:szCs w:val="22"/>
              </w:rPr>
            </w:pPr>
            <w:r w:rsidRPr="00506683">
              <w:rPr>
                <w:rFonts w:ascii="Arial" w:hAnsi="Arial" w:cs="Arial"/>
                <w:b/>
                <w:bCs/>
                <w:szCs w:val="22"/>
              </w:rPr>
              <w:t>20</w:t>
            </w:r>
            <w:r w:rsidR="00E03F05" w:rsidRPr="00506683">
              <w:rPr>
                <w:rFonts w:ascii="Arial" w:hAnsi="Arial" w:cs="Arial"/>
                <w:b/>
                <w:bCs/>
                <w:szCs w:val="22"/>
              </w:rPr>
              <w:t>20</w:t>
            </w:r>
            <w:r w:rsidRPr="00506683">
              <w:rPr>
                <w:rFonts w:ascii="Arial" w:hAnsi="Arial" w:cs="Arial"/>
                <w:b/>
                <w:bCs/>
                <w:szCs w:val="22"/>
              </w:rPr>
              <w:t>/2</w:t>
            </w:r>
            <w:r w:rsidR="00E03F05" w:rsidRPr="00506683">
              <w:rPr>
                <w:rFonts w:ascii="Arial" w:hAnsi="Arial" w:cs="Arial"/>
                <w:b/>
                <w:bCs/>
                <w:szCs w:val="22"/>
              </w:rPr>
              <w:t>1</w:t>
            </w:r>
          </w:p>
          <w:p w:rsidR="00F45AC7" w:rsidRPr="00506683" w:rsidRDefault="00F45AC7" w:rsidP="00E03F05">
            <w:pPr>
              <w:pStyle w:val="BodyText"/>
              <w:spacing w:after="0"/>
              <w:jc w:val="center"/>
              <w:rPr>
                <w:rFonts w:ascii="Arial" w:hAnsi="Arial" w:cs="Arial"/>
                <w:b/>
                <w:bCs/>
                <w:szCs w:val="22"/>
              </w:rPr>
            </w:pPr>
            <w:r w:rsidRPr="00506683">
              <w:rPr>
                <w:rFonts w:ascii="Arial" w:hAnsi="Arial" w:cs="Arial"/>
                <w:b/>
                <w:bCs/>
                <w:szCs w:val="22"/>
              </w:rPr>
              <w:t>Estimated</w:t>
            </w:r>
          </w:p>
        </w:tc>
        <w:tc>
          <w:tcPr>
            <w:tcW w:w="1531" w:type="dxa"/>
            <w:shd w:val="clear" w:color="auto" w:fill="D9D9D9"/>
          </w:tcPr>
          <w:p w:rsidR="00F45AC7" w:rsidRPr="00506683" w:rsidRDefault="00F45AC7" w:rsidP="00E03F05">
            <w:pPr>
              <w:pStyle w:val="BodyText"/>
              <w:spacing w:after="0"/>
              <w:jc w:val="center"/>
              <w:rPr>
                <w:rFonts w:ascii="Arial" w:hAnsi="Arial" w:cs="Arial"/>
                <w:b/>
                <w:bCs/>
                <w:szCs w:val="22"/>
              </w:rPr>
            </w:pPr>
            <w:r w:rsidRPr="00506683">
              <w:rPr>
                <w:rFonts w:ascii="Arial" w:hAnsi="Arial" w:cs="Arial"/>
                <w:b/>
                <w:bCs/>
                <w:szCs w:val="22"/>
              </w:rPr>
              <w:t>202</w:t>
            </w:r>
            <w:r w:rsidR="00E03F05" w:rsidRPr="00506683">
              <w:rPr>
                <w:rFonts w:ascii="Arial" w:hAnsi="Arial" w:cs="Arial"/>
                <w:b/>
                <w:bCs/>
                <w:szCs w:val="22"/>
              </w:rPr>
              <w:t>1</w:t>
            </w:r>
            <w:r w:rsidRPr="00506683">
              <w:rPr>
                <w:rFonts w:ascii="Arial" w:hAnsi="Arial" w:cs="Arial"/>
                <w:b/>
                <w:bCs/>
                <w:szCs w:val="22"/>
              </w:rPr>
              <w:t>/2</w:t>
            </w:r>
            <w:r w:rsidR="00E03F05" w:rsidRPr="00506683">
              <w:rPr>
                <w:rFonts w:ascii="Arial" w:hAnsi="Arial" w:cs="Arial"/>
                <w:b/>
                <w:bCs/>
                <w:szCs w:val="22"/>
              </w:rPr>
              <w:t>2</w:t>
            </w:r>
          </w:p>
          <w:p w:rsidR="00F45AC7" w:rsidRPr="00506683" w:rsidRDefault="00F45AC7" w:rsidP="00E03F05">
            <w:pPr>
              <w:pStyle w:val="BodyText"/>
              <w:spacing w:after="0"/>
              <w:jc w:val="center"/>
              <w:rPr>
                <w:rFonts w:ascii="Arial" w:hAnsi="Arial" w:cs="Arial"/>
                <w:b/>
                <w:bCs/>
                <w:szCs w:val="22"/>
              </w:rPr>
            </w:pPr>
            <w:r w:rsidRPr="00506683">
              <w:rPr>
                <w:rFonts w:ascii="Arial" w:hAnsi="Arial" w:cs="Arial"/>
                <w:b/>
                <w:bCs/>
                <w:szCs w:val="22"/>
              </w:rPr>
              <w:t>Estimated</w:t>
            </w:r>
          </w:p>
        </w:tc>
      </w:tr>
      <w:tr w:rsidR="00F45AC7" w:rsidRPr="008D7D6A" w:rsidTr="0077594B">
        <w:trPr>
          <w:trHeight w:val="481"/>
        </w:trPr>
        <w:tc>
          <w:tcPr>
            <w:tcW w:w="2929" w:type="dxa"/>
            <w:vAlign w:val="center"/>
          </w:tcPr>
          <w:p w:rsidR="00F45AC7" w:rsidRPr="00506683" w:rsidRDefault="00F45AC7" w:rsidP="005804A2">
            <w:pPr>
              <w:pStyle w:val="BodyText"/>
              <w:spacing w:after="0"/>
              <w:rPr>
                <w:rFonts w:ascii="Arial" w:hAnsi="Arial" w:cs="Arial"/>
                <w:iCs/>
                <w:szCs w:val="22"/>
              </w:rPr>
            </w:pPr>
            <w:r w:rsidRPr="00506683">
              <w:rPr>
                <w:rFonts w:ascii="Arial" w:hAnsi="Arial" w:cs="Arial"/>
                <w:bCs/>
                <w:szCs w:val="22"/>
              </w:rPr>
              <w:t>Capital Expenditure Table 3 and 4</w:t>
            </w:r>
          </w:p>
        </w:tc>
        <w:tc>
          <w:tcPr>
            <w:tcW w:w="1417" w:type="dxa"/>
            <w:vAlign w:val="center"/>
          </w:tcPr>
          <w:p w:rsidR="00F45AC7" w:rsidRPr="00506683" w:rsidRDefault="00F45AC7" w:rsidP="004F05DC">
            <w:pPr>
              <w:pStyle w:val="BodyText"/>
              <w:spacing w:after="0"/>
              <w:jc w:val="right"/>
              <w:rPr>
                <w:rFonts w:ascii="Arial" w:hAnsi="Arial" w:cs="Arial"/>
                <w:szCs w:val="22"/>
              </w:rPr>
            </w:pPr>
            <w:r w:rsidRPr="00506683">
              <w:rPr>
                <w:rFonts w:ascii="Arial" w:hAnsi="Arial" w:cs="Arial"/>
                <w:szCs w:val="22"/>
              </w:rPr>
              <w:t>£3</w:t>
            </w:r>
            <w:r w:rsidR="007D0828">
              <w:rPr>
                <w:rFonts w:ascii="Arial" w:hAnsi="Arial" w:cs="Arial"/>
                <w:szCs w:val="22"/>
              </w:rPr>
              <w:t>8</w:t>
            </w:r>
            <w:r w:rsidRPr="00506683">
              <w:rPr>
                <w:rFonts w:ascii="Arial" w:hAnsi="Arial" w:cs="Arial"/>
                <w:szCs w:val="22"/>
              </w:rPr>
              <w:t>.</w:t>
            </w:r>
            <w:r w:rsidR="00506683" w:rsidRPr="00506683">
              <w:rPr>
                <w:rFonts w:ascii="Arial" w:hAnsi="Arial" w:cs="Arial"/>
                <w:szCs w:val="22"/>
              </w:rPr>
              <w:t>427m</w:t>
            </w:r>
          </w:p>
        </w:tc>
        <w:tc>
          <w:tcPr>
            <w:tcW w:w="1418" w:type="dxa"/>
            <w:vAlign w:val="center"/>
          </w:tcPr>
          <w:p w:rsidR="00F45AC7" w:rsidRPr="00506683" w:rsidRDefault="0071096E" w:rsidP="00B11E62">
            <w:pPr>
              <w:pStyle w:val="BodyText"/>
              <w:spacing w:after="0"/>
              <w:jc w:val="right"/>
              <w:rPr>
                <w:rFonts w:ascii="Arial" w:hAnsi="Arial" w:cs="Arial"/>
                <w:szCs w:val="22"/>
              </w:rPr>
            </w:pPr>
            <w:r w:rsidRPr="00506683">
              <w:rPr>
                <w:rFonts w:ascii="Arial" w:hAnsi="Arial" w:cs="Arial"/>
                <w:szCs w:val="22"/>
              </w:rPr>
              <w:t>£3</w:t>
            </w:r>
            <w:r w:rsidR="00B11E62">
              <w:rPr>
                <w:rFonts w:ascii="Arial" w:hAnsi="Arial" w:cs="Arial"/>
                <w:szCs w:val="22"/>
              </w:rPr>
              <w:t>4</w:t>
            </w:r>
            <w:r w:rsidRPr="00506683">
              <w:rPr>
                <w:rFonts w:ascii="Arial" w:hAnsi="Arial" w:cs="Arial"/>
                <w:szCs w:val="22"/>
              </w:rPr>
              <w:t>.</w:t>
            </w:r>
            <w:r w:rsidR="00506683" w:rsidRPr="00506683">
              <w:rPr>
                <w:rFonts w:ascii="Arial" w:hAnsi="Arial" w:cs="Arial"/>
                <w:szCs w:val="22"/>
              </w:rPr>
              <w:t>149m</w:t>
            </w:r>
          </w:p>
        </w:tc>
        <w:tc>
          <w:tcPr>
            <w:tcW w:w="1417" w:type="dxa"/>
            <w:vAlign w:val="center"/>
          </w:tcPr>
          <w:p w:rsidR="00F45AC7" w:rsidRPr="00506683" w:rsidRDefault="0071096E" w:rsidP="007D0828">
            <w:pPr>
              <w:pStyle w:val="BodyText"/>
              <w:spacing w:after="0"/>
              <w:jc w:val="right"/>
              <w:rPr>
                <w:rFonts w:ascii="Arial" w:hAnsi="Arial" w:cs="Arial"/>
                <w:szCs w:val="22"/>
              </w:rPr>
            </w:pPr>
            <w:r w:rsidRPr="00506683">
              <w:rPr>
                <w:rFonts w:ascii="Arial" w:hAnsi="Arial" w:cs="Arial"/>
                <w:szCs w:val="22"/>
              </w:rPr>
              <w:t>£</w:t>
            </w:r>
            <w:r w:rsidR="007D0828">
              <w:rPr>
                <w:rFonts w:ascii="Arial" w:hAnsi="Arial" w:cs="Arial"/>
                <w:szCs w:val="22"/>
              </w:rPr>
              <w:t>1</w:t>
            </w:r>
            <w:r w:rsidR="00506683" w:rsidRPr="00506683">
              <w:rPr>
                <w:rFonts w:ascii="Arial" w:hAnsi="Arial" w:cs="Arial"/>
                <w:szCs w:val="22"/>
              </w:rPr>
              <w:t>5</w:t>
            </w:r>
            <w:r w:rsidRPr="00506683">
              <w:rPr>
                <w:rFonts w:ascii="Arial" w:hAnsi="Arial" w:cs="Arial"/>
                <w:szCs w:val="22"/>
              </w:rPr>
              <w:t>.</w:t>
            </w:r>
            <w:r w:rsidR="00506683" w:rsidRPr="00506683">
              <w:rPr>
                <w:rFonts w:ascii="Arial" w:hAnsi="Arial" w:cs="Arial"/>
                <w:szCs w:val="22"/>
              </w:rPr>
              <w:t>146m</w:t>
            </w:r>
          </w:p>
        </w:tc>
        <w:tc>
          <w:tcPr>
            <w:tcW w:w="1531" w:type="dxa"/>
            <w:vAlign w:val="center"/>
          </w:tcPr>
          <w:p w:rsidR="00F45AC7" w:rsidRPr="00506683" w:rsidRDefault="0071096E" w:rsidP="007D0828">
            <w:pPr>
              <w:pStyle w:val="BodyText"/>
              <w:spacing w:after="0"/>
              <w:jc w:val="right"/>
              <w:rPr>
                <w:rFonts w:ascii="Arial" w:hAnsi="Arial" w:cs="Arial"/>
                <w:szCs w:val="22"/>
              </w:rPr>
            </w:pPr>
            <w:r w:rsidRPr="00506683">
              <w:rPr>
                <w:rFonts w:ascii="Arial" w:hAnsi="Arial" w:cs="Arial"/>
                <w:szCs w:val="22"/>
              </w:rPr>
              <w:t>£</w:t>
            </w:r>
            <w:r w:rsidR="007D0828">
              <w:rPr>
                <w:rFonts w:ascii="Arial" w:hAnsi="Arial" w:cs="Arial"/>
                <w:szCs w:val="22"/>
              </w:rPr>
              <w:t>1</w:t>
            </w:r>
            <w:r w:rsidR="00506683" w:rsidRPr="00506683">
              <w:rPr>
                <w:rFonts w:ascii="Arial" w:hAnsi="Arial" w:cs="Arial"/>
                <w:szCs w:val="22"/>
              </w:rPr>
              <w:t>3</w:t>
            </w:r>
            <w:r w:rsidRPr="00506683">
              <w:rPr>
                <w:rFonts w:ascii="Arial" w:hAnsi="Arial" w:cs="Arial"/>
                <w:szCs w:val="22"/>
              </w:rPr>
              <w:t>.</w:t>
            </w:r>
            <w:r w:rsidR="00506683" w:rsidRPr="00506683">
              <w:rPr>
                <w:rFonts w:ascii="Arial" w:hAnsi="Arial" w:cs="Arial"/>
                <w:szCs w:val="22"/>
              </w:rPr>
              <w:t>133m</w:t>
            </w:r>
          </w:p>
        </w:tc>
      </w:tr>
      <w:tr w:rsidR="00F45AC7" w:rsidRPr="008D7D6A" w:rsidTr="0077594B">
        <w:tc>
          <w:tcPr>
            <w:tcW w:w="2929" w:type="dxa"/>
            <w:vAlign w:val="center"/>
          </w:tcPr>
          <w:p w:rsidR="00F45AC7" w:rsidRPr="007D0828" w:rsidRDefault="00F45AC7" w:rsidP="005804A2">
            <w:pPr>
              <w:pStyle w:val="BodyText"/>
              <w:spacing w:after="0"/>
              <w:rPr>
                <w:rFonts w:ascii="Arial" w:hAnsi="Arial" w:cs="Arial"/>
                <w:szCs w:val="22"/>
              </w:rPr>
            </w:pPr>
            <w:r w:rsidRPr="007D0828">
              <w:rPr>
                <w:rFonts w:ascii="Arial" w:hAnsi="Arial" w:cs="Arial"/>
                <w:szCs w:val="22"/>
              </w:rPr>
              <w:t>Capital financing requirement Table 5</w:t>
            </w:r>
          </w:p>
        </w:tc>
        <w:tc>
          <w:tcPr>
            <w:tcW w:w="1417" w:type="dxa"/>
            <w:vAlign w:val="center"/>
          </w:tcPr>
          <w:p w:rsidR="00F45AC7" w:rsidRPr="007D0828" w:rsidRDefault="000A0E48" w:rsidP="001D14DD">
            <w:pPr>
              <w:pStyle w:val="BodyText"/>
              <w:spacing w:after="0"/>
              <w:jc w:val="right"/>
              <w:rPr>
                <w:rFonts w:ascii="Arial" w:hAnsi="Arial" w:cs="Arial"/>
                <w:szCs w:val="22"/>
              </w:rPr>
            </w:pPr>
            <w:r w:rsidRPr="007D0828">
              <w:rPr>
                <w:rFonts w:ascii="Arial" w:hAnsi="Arial" w:cs="Arial"/>
                <w:szCs w:val="22"/>
              </w:rPr>
              <w:t>£</w:t>
            </w:r>
            <w:r w:rsidR="00506683" w:rsidRPr="007D0828">
              <w:rPr>
                <w:rFonts w:ascii="Arial" w:hAnsi="Arial" w:cs="Arial"/>
                <w:szCs w:val="22"/>
              </w:rPr>
              <w:t>3</w:t>
            </w:r>
            <w:r w:rsidR="001D14DD">
              <w:rPr>
                <w:rFonts w:ascii="Arial" w:hAnsi="Arial" w:cs="Arial"/>
                <w:szCs w:val="22"/>
              </w:rPr>
              <w:t>19</w:t>
            </w:r>
            <w:r w:rsidR="00F45AC7" w:rsidRPr="007D0828">
              <w:rPr>
                <w:rFonts w:ascii="Arial" w:hAnsi="Arial" w:cs="Arial"/>
                <w:szCs w:val="22"/>
              </w:rPr>
              <w:t>.</w:t>
            </w:r>
            <w:r w:rsidR="00506683" w:rsidRPr="007D0828">
              <w:rPr>
                <w:rFonts w:ascii="Arial" w:hAnsi="Arial" w:cs="Arial"/>
                <w:szCs w:val="22"/>
              </w:rPr>
              <w:t>48</w:t>
            </w:r>
            <w:r w:rsidR="007D0828" w:rsidRPr="007D0828">
              <w:rPr>
                <w:rFonts w:ascii="Arial" w:hAnsi="Arial" w:cs="Arial"/>
                <w:szCs w:val="22"/>
              </w:rPr>
              <w:t>7</w:t>
            </w:r>
            <w:r w:rsidR="00506683" w:rsidRPr="007D0828">
              <w:rPr>
                <w:rFonts w:ascii="Arial" w:hAnsi="Arial" w:cs="Arial"/>
                <w:szCs w:val="22"/>
              </w:rPr>
              <w:t>m</w:t>
            </w:r>
          </w:p>
        </w:tc>
        <w:tc>
          <w:tcPr>
            <w:tcW w:w="1418" w:type="dxa"/>
            <w:vAlign w:val="center"/>
          </w:tcPr>
          <w:p w:rsidR="00F45AC7" w:rsidRPr="007D0828" w:rsidRDefault="0071096E" w:rsidP="001D14DD">
            <w:pPr>
              <w:pStyle w:val="BodyText"/>
              <w:spacing w:after="0"/>
              <w:jc w:val="right"/>
              <w:rPr>
                <w:rFonts w:ascii="Arial" w:hAnsi="Arial" w:cs="Arial"/>
                <w:szCs w:val="22"/>
              </w:rPr>
            </w:pPr>
            <w:r w:rsidRPr="007D0828">
              <w:rPr>
                <w:rFonts w:ascii="Arial" w:hAnsi="Arial" w:cs="Arial"/>
                <w:szCs w:val="22"/>
              </w:rPr>
              <w:t>£3</w:t>
            </w:r>
            <w:r w:rsidR="001D14DD">
              <w:rPr>
                <w:rFonts w:ascii="Arial" w:hAnsi="Arial" w:cs="Arial"/>
                <w:szCs w:val="22"/>
              </w:rPr>
              <w:t>26</w:t>
            </w:r>
            <w:r w:rsidRPr="007D0828">
              <w:rPr>
                <w:rFonts w:ascii="Arial" w:hAnsi="Arial" w:cs="Arial"/>
                <w:szCs w:val="22"/>
              </w:rPr>
              <w:t>.</w:t>
            </w:r>
            <w:r w:rsidR="00506683" w:rsidRPr="007D0828">
              <w:rPr>
                <w:rFonts w:ascii="Arial" w:hAnsi="Arial" w:cs="Arial"/>
                <w:szCs w:val="22"/>
              </w:rPr>
              <w:t>70</w:t>
            </w:r>
            <w:r w:rsidR="007D0828" w:rsidRPr="007D0828">
              <w:rPr>
                <w:rFonts w:ascii="Arial" w:hAnsi="Arial" w:cs="Arial"/>
                <w:szCs w:val="22"/>
              </w:rPr>
              <w:t>3</w:t>
            </w:r>
            <w:r w:rsidR="00506683" w:rsidRPr="007D0828">
              <w:rPr>
                <w:rFonts w:ascii="Arial" w:hAnsi="Arial" w:cs="Arial"/>
                <w:szCs w:val="22"/>
              </w:rPr>
              <w:t>m</w:t>
            </w:r>
          </w:p>
        </w:tc>
        <w:tc>
          <w:tcPr>
            <w:tcW w:w="1417" w:type="dxa"/>
            <w:vAlign w:val="center"/>
          </w:tcPr>
          <w:p w:rsidR="00F45AC7" w:rsidRPr="007D0828" w:rsidRDefault="0071096E" w:rsidP="001D14DD">
            <w:pPr>
              <w:pStyle w:val="BodyText"/>
              <w:spacing w:after="0"/>
              <w:jc w:val="right"/>
              <w:rPr>
                <w:rFonts w:ascii="Arial" w:hAnsi="Arial" w:cs="Arial"/>
                <w:szCs w:val="22"/>
              </w:rPr>
            </w:pPr>
            <w:r w:rsidRPr="007D0828">
              <w:rPr>
                <w:rFonts w:ascii="Arial" w:hAnsi="Arial" w:cs="Arial"/>
                <w:szCs w:val="22"/>
              </w:rPr>
              <w:t>£3</w:t>
            </w:r>
            <w:r w:rsidR="001D14DD">
              <w:rPr>
                <w:rFonts w:ascii="Arial" w:hAnsi="Arial" w:cs="Arial"/>
                <w:szCs w:val="22"/>
              </w:rPr>
              <w:t>24</w:t>
            </w:r>
            <w:r w:rsidRPr="007D0828">
              <w:rPr>
                <w:rFonts w:ascii="Arial" w:hAnsi="Arial" w:cs="Arial"/>
                <w:szCs w:val="22"/>
              </w:rPr>
              <w:t>.</w:t>
            </w:r>
            <w:r w:rsidR="00506683" w:rsidRPr="007D0828">
              <w:rPr>
                <w:rFonts w:ascii="Arial" w:hAnsi="Arial" w:cs="Arial"/>
                <w:szCs w:val="22"/>
              </w:rPr>
              <w:t>93</w:t>
            </w:r>
            <w:r w:rsidR="007D0828" w:rsidRPr="007D0828">
              <w:rPr>
                <w:rFonts w:ascii="Arial" w:hAnsi="Arial" w:cs="Arial"/>
                <w:szCs w:val="22"/>
              </w:rPr>
              <w:t>4</w:t>
            </w:r>
            <w:r w:rsidR="00506683" w:rsidRPr="007D0828">
              <w:rPr>
                <w:rFonts w:ascii="Arial" w:hAnsi="Arial" w:cs="Arial"/>
                <w:szCs w:val="22"/>
              </w:rPr>
              <w:t>m</w:t>
            </w:r>
          </w:p>
        </w:tc>
        <w:tc>
          <w:tcPr>
            <w:tcW w:w="1531" w:type="dxa"/>
            <w:vAlign w:val="center"/>
          </w:tcPr>
          <w:p w:rsidR="00F45AC7" w:rsidRPr="007D0828" w:rsidRDefault="0071096E" w:rsidP="001D14DD">
            <w:pPr>
              <w:pStyle w:val="BodyText"/>
              <w:spacing w:after="0"/>
              <w:jc w:val="right"/>
              <w:rPr>
                <w:rFonts w:ascii="Arial" w:hAnsi="Arial" w:cs="Arial"/>
                <w:szCs w:val="22"/>
              </w:rPr>
            </w:pPr>
            <w:r w:rsidRPr="007D0828">
              <w:rPr>
                <w:rFonts w:ascii="Arial" w:hAnsi="Arial" w:cs="Arial"/>
                <w:szCs w:val="22"/>
              </w:rPr>
              <w:t>£3</w:t>
            </w:r>
            <w:r w:rsidR="001D14DD">
              <w:rPr>
                <w:rFonts w:ascii="Arial" w:hAnsi="Arial" w:cs="Arial"/>
                <w:szCs w:val="22"/>
              </w:rPr>
              <w:t>23</w:t>
            </w:r>
            <w:r w:rsidRPr="007D0828">
              <w:rPr>
                <w:rFonts w:ascii="Arial" w:hAnsi="Arial" w:cs="Arial"/>
                <w:szCs w:val="22"/>
              </w:rPr>
              <w:t>.</w:t>
            </w:r>
            <w:r w:rsidR="00506683" w:rsidRPr="007D0828">
              <w:rPr>
                <w:rFonts w:ascii="Arial" w:hAnsi="Arial" w:cs="Arial"/>
                <w:szCs w:val="22"/>
              </w:rPr>
              <w:t>17</w:t>
            </w:r>
            <w:r w:rsidR="007D0828" w:rsidRPr="007D0828">
              <w:rPr>
                <w:rFonts w:ascii="Arial" w:hAnsi="Arial" w:cs="Arial"/>
                <w:szCs w:val="22"/>
              </w:rPr>
              <w:t>9</w:t>
            </w:r>
            <w:r w:rsidR="00506683" w:rsidRPr="007D0828">
              <w:rPr>
                <w:rFonts w:ascii="Arial" w:hAnsi="Arial" w:cs="Arial"/>
                <w:szCs w:val="22"/>
              </w:rPr>
              <w:t>m</w:t>
            </w:r>
          </w:p>
        </w:tc>
      </w:tr>
      <w:tr w:rsidR="00F45AC7" w:rsidRPr="008D7D6A" w:rsidTr="0077594B">
        <w:tc>
          <w:tcPr>
            <w:tcW w:w="2929" w:type="dxa"/>
            <w:vAlign w:val="center"/>
          </w:tcPr>
          <w:p w:rsidR="00F45AC7" w:rsidRPr="00AE546D" w:rsidRDefault="00F45AC7" w:rsidP="00AE546D">
            <w:pPr>
              <w:pStyle w:val="BodyText"/>
              <w:spacing w:after="0"/>
              <w:rPr>
                <w:rFonts w:ascii="Arial" w:hAnsi="Arial" w:cs="Arial"/>
                <w:iCs/>
                <w:szCs w:val="22"/>
              </w:rPr>
            </w:pPr>
            <w:r w:rsidRPr="00AE546D">
              <w:rPr>
                <w:rFonts w:ascii="Arial" w:hAnsi="Arial" w:cs="Arial"/>
                <w:szCs w:val="22"/>
              </w:rPr>
              <w:t xml:space="preserve">Ratio of financing costs to net revenue stream – General Fund See paragraph </w:t>
            </w:r>
            <w:r w:rsidR="00822040" w:rsidRPr="00AE546D">
              <w:rPr>
                <w:rFonts w:ascii="Arial" w:hAnsi="Arial" w:cs="Arial"/>
                <w:szCs w:val="22"/>
              </w:rPr>
              <w:t>4</w:t>
            </w:r>
            <w:r w:rsidR="00AE546D" w:rsidRPr="00AE546D">
              <w:rPr>
                <w:rFonts w:ascii="Arial" w:hAnsi="Arial" w:cs="Arial"/>
                <w:szCs w:val="22"/>
              </w:rPr>
              <w:t>3</w:t>
            </w:r>
            <w:r w:rsidRPr="00AE546D">
              <w:rPr>
                <w:rFonts w:ascii="Arial" w:hAnsi="Arial" w:cs="Arial"/>
                <w:szCs w:val="22"/>
              </w:rPr>
              <w:t>/</w:t>
            </w:r>
            <w:r w:rsidR="00822040" w:rsidRPr="00AE546D">
              <w:rPr>
                <w:rFonts w:ascii="Arial" w:hAnsi="Arial" w:cs="Arial"/>
                <w:szCs w:val="22"/>
              </w:rPr>
              <w:t>4</w:t>
            </w:r>
            <w:r w:rsidR="00AE546D" w:rsidRPr="00AE546D">
              <w:rPr>
                <w:rFonts w:ascii="Arial" w:hAnsi="Arial" w:cs="Arial"/>
                <w:szCs w:val="22"/>
              </w:rPr>
              <w:t>4</w:t>
            </w:r>
            <w:r w:rsidRPr="00AE546D">
              <w:rPr>
                <w:rFonts w:ascii="Arial" w:hAnsi="Arial" w:cs="Arial"/>
                <w:szCs w:val="22"/>
              </w:rPr>
              <w:t xml:space="preserve"> Table </w:t>
            </w:r>
            <w:r w:rsidR="00822040" w:rsidRPr="00AE546D">
              <w:rPr>
                <w:rFonts w:ascii="Arial" w:hAnsi="Arial" w:cs="Arial"/>
                <w:szCs w:val="22"/>
              </w:rPr>
              <w:t>6</w:t>
            </w:r>
          </w:p>
        </w:tc>
        <w:tc>
          <w:tcPr>
            <w:tcW w:w="1417" w:type="dxa"/>
            <w:vAlign w:val="center"/>
          </w:tcPr>
          <w:p w:rsidR="00F45AC7" w:rsidRPr="007D0828" w:rsidRDefault="007D0828" w:rsidP="008B1B60">
            <w:pPr>
              <w:pStyle w:val="BodyText"/>
              <w:spacing w:after="0"/>
              <w:jc w:val="right"/>
              <w:rPr>
                <w:rFonts w:ascii="Arial" w:hAnsi="Arial" w:cs="Arial"/>
                <w:szCs w:val="22"/>
              </w:rPr>
            </w:pPr>
            <w:r w:rsidRPr="007D0828">
              <w:rPr>
                <w:rFonts w:ascii="Arial" w:hAnsi="Arial" w:cs="Arial"/>
                <w:szCs w:val="22"/>
              </w:rPr>
              <w:t>3</w:t>
            </w:r>
            <w:r w:rsidR="008B1B60">
              <w:rPr>
                <w:rFonts w:ascii="Arial" w:hAnsi="Arial" w:cs="Arial"/>
                <w:szCs w:val="22"/>
              </w:rPr>
              <w:t>.03</w:t>
            </w:r>
            <w:r w:rsidR="00F45AC7" w:rsidRPr="007D0828">
              <w:rPr>
                <w:rFonts w:ascii="Arial" w:hAnsi="Arial" w:cs="Arial"/>
                <w:szCs w:val="22"/>
              </w:rPr>
              <w:t>%</w:t>
            </w:r>
          </w:p>
        </w:tc>
        <w:tc>
          <w:tcPr>
            <w:tcW w:w="1418" w:type="dxa"/>
            <w:vAlign w:val="center"/>
          </w:tcPr>
          <w:p w:rsidR="00F45AC7" w:rsidRPr="007D0828" w:rsidRDefault="007D0828" w:rsidP="008B1B60">
            <w:pPr>
              <w:pStyle w:val="BodyText"/>
              <w:spacing w:after="0"/>
              <w:jc w:val="right"/>
              <w:rPr>
                <w:rFonts w:ascii="Arial" w:hAnsi="Arial" w:cs="Arial"/>
                <w:szCs w:val="22"/>
              </w:rPr>
            </w:pPr>
            <w:r w:rsidRPr="007D0828">
              <w:rPr>
                <w:rFonts w:ascii="Arial" w:hAnsi="Arial" w:cs="Arial"/>
                <w:szCs w:val="22"/>
              </w:rPr>
              <w:t>2.</w:t>
            </w:r>
            <w:r w:rsidR="008B1B60">
              <w:rPr>
                <w:rFonts w:ascii="Arial" w:hAnsi="Arial" w:cs="Arial"/>
                <w:szCs w:val="22"/>
              </w:rPr>
              <w:t>74</w:t>
            </w:r>
            <w:r w:rsidR="0071096E" w:rsidRPr="007D0828">
              <w:rPr>
                <w:rFonts w:ascii="Arial" w:hAnsi="Arial" w:cs="Arial"/>
                <w:szCs w:val="22"/>
              </w:rPr>
              <w:t>%</w:t>
            </w:r>
          </w:p>
        </w:tc>
        <w:tc>
          <w:tcPr>
            <w:tcW w:w="1417" w:type="dxa"/>
            <w:vAlign w:val="center"/>
          </w:tcPr>
          <w:p w:rsidR="00F45AC7" w:rsidRPr="007D0828" w:rsidRDefault="007D0828" w:rsidP="008B1B60">
            <w:pPr>
              <w:pStyle w:val="BodyText"/>
              <w:spacing w:after="0"/>
              <w:jc w:val="right"/>
              <w:rPr>
                <w:rFonts w:ascii="Arial" w:hAnsi="Arial" w:cs="Arial"/>
                <w:szCs w:val="22"/>
              </w:rPr>
            </w:pPr>
            <w:r w:rsidRPr="007D0828">
              <w:rPr>
                <w:rFonts w:ascii="Arial" w:hAnsi="Arial" w:cs="Arial"/>
                <w:szCs w:val="22"/>
              </w:rPr>
              <w:t>2</w:t>
            </w:r>
            <w:r w:rsidR="0071096E" w:rsidRPr="007D0828">
              <w:rPr>
                <w:rFonts w:ascii="Arial" w:hAnsi="Arial" w:cs="Arial"/>
                <w:szCs w:val="22"/>
              </w:rPr>
              <w:t>.</w:t>
            </w:r>
            <w:r w:rsidR="008B1B60">
              <w:rPr>
                <w:rFonts w:ascii="Arial" w:hAnsi="Arial" w:cs="Arial"/>
                <w:szCs w:val="22"/>
              </w:rPr>
              <w:t>98</w:t>
            </w:r>
            <w:r w:rsidR="0071096E" w:rsidRPr="007D0828">
              <w:rPr>
                <w:rFonts w:ascii="Arial" w:hAnsi="Arial" w:cs="Arial"/>
                <w:szCs w:val="22"/>
              </w:rPr>
              <w:t>%</w:t>
            </w:r>
          </w:p>
        </w:tc>
        <w:tc>
          <w:tcPr>
            <w:tcW w:w="1531" w:type="dxa"/>
            <w:vAlign w:val="center"/>
          </w:tcPr>
          <w:p w:rsidR="00F45AC7" w:rsidRPr="007D0828" w:rsidRDefault="008B1B60" w:rsidP="008B1B60">
            <w:pPr>
              <w:pStyle w:val="BodyText"/>
              <w:spacing w:after="0"/>
              <w:jc w:val="right"/>
              <w:rPr>
                <w:rFonts w:ascii="Arial" w:hAnsi="Arial" w:cs="Arial"/>
                <w:szCs w:val="22"/>
              </w:rPr>
            </w:pPr>
            <w:r>
              <w:rPr>
                <w:rFonts w:ascii="Arial" w:hAnsi="Arial" w:cs="Arial"/>
                <w:szCs w:val="22"/>
              </w:rPr>
              <w:t>3</w:t>
            </w:r>
            <w:r w:rsidR="0071096E" w:rsidRPr="007D0828">
              <w:rPr>
                <w:rFonts w:ascii="Arial" w:hAnsi="Arial" w:cs="Arial"/>
                <w:szCs w:val="22"/>
              </w:rPr>
              <w:t>.</w:t>
            </w:r>
            <w:r>
              <w:rPr>
                <w:rFonts w:ascii="Arial" w:hAnsi="Arial" w:cs="Arial"/>
                <w:szCs w:val="22"/>
              </w:rPr>
              <w:t>03</w:t>
            </w:r>
            <w:r w:rsidR="0071096E" w:rsidRPr="007D0828">
              <w:rPr>
                <w:rFonts w:ascii="Arial" w:hAnsi="Arial" w:cs="Arial"/>
                <w:szCs w:val="22"/>
              </w:rPr>
              <w:t>%</w:t>
            </w:r>
          </w:p>
        </w:tc>
      </w:tr>
      <w:tr w:rsidR="00F45AC7" w:rsidRPr="008D7D6A" w:rsidTr="0077594B">
        <w:tc>
          <w:tcPr>
            <w:tcW w:w="2929" w:type="dxa"/>
            <w:vAlign w:val="center"/>
          </w:tcPr>
          <w:p w:rsidR="00F45AC7" w:rsidRPr="00AE546D" w:rsidRDefault="00F45AC7" w:rsidP="00AE546D">
            <w:pPr>
              <w:pStyle w:val="BodyText"/>
              <w:spacing w:after="0"/>
              <w:rPr>
                <w:rFonts w:ascii="Arial" w:hAnsi="Arial" w:cs="Arial"/>
                <w:iCs/>
                <w:szCs w:val="22"/>
              </w:rPr>
            </w:pPr>
            <w:r w:rsidRPr="00AE546D">
              <w:rPr>
                <w:rFonts w:ascii="Arial" w:hAnsi="Arial" w:cs="Arial"/>
                <w:szCs w:val="22"/>
              </w:rPr>
              <w:t xml:space="preserve">Ratio of financing costs to net revenue stream –HRA See paragraph </w:t>
            </w:r>
            <w:r w:rsidR="00822040" w:rsidRPr="00AE546D">
              <w:rPr>
                <w:rFonts w:ascii="Arial" w:hAnsi="Arial" w:cs="Arial"/>
                <w:szCs w:val="22"/>
              </w:rPr>
              <w:t>4</w:t>
            </w:r>
            <w:r w:rsidR="00AE546D" w:rsidRPr="00AE546D">
              <w:rPr>
                <w:rFonts w:ascii="Arial" w:hAnsi="Arial" w:cs="Arial"/>
                <w:szCs w:val="22"/>
              </w:rPr>
              <w:t>3</w:t>
            </w:r>
            <w:r w:rsidRPr="00AE546D">
              <w:rPr>
                <w:rFonts w:ascii="Arial" w:hAnsi="Arial" w:cs="Arial"/>
                <w:szCs w:val="22"/>
              </w:rPr>
              <w:t>/</w:t>
            </w:r>
            <w:r w:rsidR="00822040" w:rsidRPr="00AE546D">
              <w:rPr>
                <w:rFonts w:ascii="Arial" w:hAnsi="Arial" w:cs="Arial"/>
                <w:szCs w:val="22"/>
              </w:rPr>
              <w:t>4</w:t>
            </w:r>
            <w:r w:rsidR="00AE546D" w:rsidRPr="00AE546D">
              <w:rPr>
                <w:rFonts w:ascii="Arial" w:hAnsi="Arial" w:cs="Arial"/>
                <w:szCs w:val="22"/>
              </w:rPr>
              <w:t>4</w:t>
            </w:r>
            <w:r w:rsidRPr="00AE546D">
              <w:rPr>
                <w:rFonts w:ascii="Arial" w:hAnsi="Arial" w:cs="Arial"/>
                <w:szCs w:val="22"/>
              </w:rPr>
              <w:t xml:space="preserve"> Table </w:t>
            </w:r>
            <w:r w:rsidR="00822040" w:rsidRPr="00AE546D">
              <w:rPr>
                <w:rFonts w:ascii="Arial" w:hAnsi="Arial" w:cs="Arial"/>
                <w:szCs w:val="22"/>
              </w:rPr>
              <w:t>6</w:t>
            </w:r>
          </w:p>
        </w:tc>
        <w:tc>
          <w:tcPr>
            <w:tcW w:w="1417" w:type="dxa"/>
            <w:vAlign w:val="center"/>
          </w:tcPr>
          <w:p w:rsidR="00F45AC7" w:rsidRPr="007D0828" w:rsidRDefault="00F45AC7" w:rsidP="007D0828">
            <w:pPr>
              <w:pStyle w:val="BodyText"/>
              <w:spacing w:after="0"/>
              <w:jc w:val="right"/>
              <w:rPr>
                <w:rFonts w:ascii="Arial" w:hAnsi="Arial" w:cs="Arial"/>
                <w:szCs w:val="22"/>
              </w:rPr>
            </w:pPr>
            <w:r w:rsidRPr="007D0828">
              <w:rPr>
                <w:rFonts w:ascii="Arial" w:hAnsi="Arial" w:cs="Arial"/>
                <w:szCs w:val="22"/>
              </w:rPr>
              <w:t>15.</w:t>
            </w:r>
            <w:r w:rsidR="007D0828" w:rsidRPr="007D0828">
              <w:rPr>
                <w:rFonts w:ascii="Arial" w:hAnsi="Arial" w:cs="Arial"/>
                <w:szCs w:val="22"/>
              </w:rPr>
              <w:t>03</w:t>
            </w:r>
            <w:r w:rsidRPr="007D0828">
              <w:rPr>
                <w:rFonts w:ascii="Arial" w:hAnsi="Arial" w:cs="Arial"/>
                <w:szCs w:val="22"/>
              </w:rPr>
              <w:t>%</w:t>
            </w:r>
          </w:p>
        </w:tc>
        <w:tc>
          <w:tcPr>
            <w:tcW w:w="1418" w:type="dxa"/>
            <w:vAlign w:val="center"/>
          </w:tcPr>
          <w:p w:rsidR="00F45AC7" w:rsidRPr="007D0828" w:rsidRDefault="0071096E" w:rsidP="000526E7">
            <w:pPr>
              <w:pStyle w:val="BodyText"/>
              <w:spacing w:after="0"/>
              <w:jc w:val="right"/>
              <w:rPr>
                <w:rFonts w:ascii="Arial" w:hAnsi="Arial" w:cs="Arial"/>
                <w:szCs w:val="22"/>
              </w:rPr>
            </w:pPr>
            <w:r w:rsidRPr="007D0828">
              <w:rPr>
                <w:rFonts w:ascii="Arial" w:hAnsi="Arial" w:cs="Arial"/>
                <w:szCs w:val="22"/>
              </w:rPr>
              <w:t>1</w:t>
            </w:r>
            <w:r w:rsidR="000526E7" w:rsidRPr="007D0828">
              <w:rPr>
                <w:rFonts w:ascii="Arial" w:hAnsi="Arial" w:cs="Arial"/>
                <w:szCs w:val="22"/>
              </w:rPr>
              <w:t>7.48</w:t>
            </w:r>
            <w:r w:rsidRPr="007D0828">
              <w:rPr>
                <w:rFonts w:ascii="Arial" w:hAnsi="Arial" w:cs="Arial"/>
                <w:szCs w:val="22"/>
              </w:rPr>
              <w:t>%</w:t>
            </w:r>
          </w:p>
        </w:tc>
        <w:tc>
          <w:tcPr>
            <w:tcW w:w="1417" w:type="dxa"/>
            <w:vAlign w:val="center"/>
          </w:tcPr>
          <w:p w:rsidR="00F45AC7" w:rsidRPr="007D0828" w:rsidRDefault="0071096E" w:rsidP="000526E7">
            <w:pPr>
              <w:pStyle w:val="BodyText"/>
              <w:spacing w:after="0"/>
              <w:jc w:val="right"/>
              <w:rPr>
                <w:rFonts w:ascii="Arial" w:hAnsi="Arial" w:cs="Arial"/>
                <w:szCs w:val="22"/>
              </w:rPr>
            </w:pPr>
            <w:r w:rsidRPr="007D0828">
              <w:rPr>
                <w:rFonts w:ascii="Arial" w:hAnsi="Arial" w:cs="Arial"/>
                <w:szCs w:val="22"/>
              </w:rPr>
              <w:t>1</w:t>
            </w:r>
            <w:r w:rsidR="000526E7" w:rsidRPr="007D0828">
              <w:rPr>
                <w:rFonts w:ascii="Arial" w:hAnsi="Arial" w:cs="Arial"/>
                <w:szCs w:val="22"/>
              </w:rPr>
              <w:t>6.72</w:t>
            </w:r>
            <w:r w:rsidRPr="007D0828">
              <w:rPr>
                <w:rFonts w:ascii="Arial" w:hAnsi="Arial" w:cs="Arial"/>
                <w:szCs w:val="22"/>
              </w:rPr>
              <w:t>%</w:t>
            </w:r>
          </w:p>
        </w:tc>
        <w:tc>
          <w:tcPr>
            <w:tcW w:w="1531" w:type="dxa"/>
            <w:vAlign w:val="center"/>
          </w:tcPr>
          <w:p w:rsidR="00F45AC7" w:rsidRPr="007D0828" w:rsidRDefault="0071096E" w:rsidP="000526E7">
            <w:pPr>
              <w:pStyle w:val="BodyText"/>
              <w:spacing w:after="0"/>
              <w:jc w:val="right"/>
              <w:rPr>
                <w:rFonts w:ascii="Arial" w:hAnsi="Arial" w:cs="Arial"/>
                <w:szCs w:val="22"/>
              </w:rPr>
            </w:pPr>
            <w:r w:rsidRPr="007D0828">
              <w:rPr>
                <w:rFonts w:ascii="Arial" w:hAnsi="Arial" w:cs="Arial"/>
                <w:szCs w:val="22"/>
              </w:rPr>
              <w:t>1</w:t>
            </w:r>
            <w:r w:rsidR="000526E7" w:rsidRPr="007D0828">
              <w:rPr>
                <w:rFonts w:ascii="Arial" w:hAnsi="Arial" w:cs="Arial"/>
                <w:szCs w:val="22"/>
              </w:rPr>
              <w:t>8.15</w:t>
            </w:r>
            <w:r w:rsidRPr="007D0828">
              <w:rPr>
                <w:rFonts w:ascii="Arial" w:hAnsi="Arial" w:cs="Arial"/>
                <w:szCs w:val="22"/>
              </w:rPr>
              <w:t>%</w:t>
            </w:r>
          </w:p>
        </w:tc>
      </w:tr>
      <w:tr w:rsidR="00F45AC7" w:rsidRPr="008D7D6A" w:rsidTr="0077594B">
        <w:tc>
          <w:tcPr>
            <w:tcW w:w="2929" w:type="dxa"/>
            <w:shd w:val="clear" w:color="auto" w:fill="auto"/>
            <w:vAlign w:val="center"/>
          </w:tcPr>
          <w:p w:rsidR="00F45AC7" w:rsidRPr="00822040" w:rsidRDefault="00F45AC7" w:rsidP="00822040">
            <w:pPr>
              <w:pStyle w:val="BodyText"/>
              <w:spacing w:after="0"/>
              <w:rPr>
                <w:rFonts w:ascii="Arial" w:hAnsi="Arial" w:cs="Arial"/>
                <w:iCs/>
                <w:szCs w:val="22"/>
              </w:rPr>
            </w:pPr>
            <w:r w:rsidRPr="00822040">
              <w:rPr>
                <w:rFonts w:ascii="Arial" w:hAnsi="Arial" w:cs="Arial"/>
                <w:bCs/>
                <w:szCs w:val="22"/>
              </w:rPr>
              <w:t xml:space="preserve">Operational boundary for external debt Table </w:t>
            </w:r>
            <w:r w:rsidR="00822040" w:rsidRPr="00822040">
              <w:rPr>
                <w:rFonts w:ascii="Arial" w:hAnsi="Arial" w:cs="Arial"/>
                <w:bCs/>
                <w:szCs w:val="22"/>
              </w:rPr>
              <w:t>8</w:t>
            </w:r>
          </w:p>
        </w:tc>
        <w:tc>
          <w:tcPr>
            <w:tcW w:w="1417" w:type="dxa"/>
            <w:shd w:val="clear" w:color="auto" w:fill="auto"/>
            <w:vAlign w:val="center"/>
          </w:tcPr>
          <w:p w:rsidR="00F45AC7" w:rsidRPr="007D0828" w:rsidRDefault="00F45AC7" w:rsidP="001D14DD">
            <w:pPr>
              <w:pStyle w:val="BodyText"/>
              <w:spacing w:after="0"/>
              <w:jc w:val="right"/>
              <w:rPr>
                <w:rFonts w:ascii="Arial" w:hAnsi="Arial" w:cs="Arial"/>
                <w:szCs w:val="22"/>
              </w:rPr>
            </w:pPr>
            <w:r w:rsidRPr="007D0828">
              <w:rPr>
                <w:rFonts w:ascii="Arial" w:hAnsi="Arial" w:cs="Arial"/>
                <w:szCs w:val="22"/>
              </w:rPr>
              <w:t>£</w:t>
            </w:r>
            <w:r w:rsidR="001D14DD">
              <w:rPr>
                <w:rFonts w:ascii="Arial" w:hAnsi="Arial" w:cs="Arial"/>
                <w:szCs w:val="22"/>
              </w:rPr>
              <w:t>300</w:t>
            </w:r>
            <w:r w:rsidRPr="007D0828">
              <w:rPr>
                <w:rFonts w:ascii="Arial" w:hAnsi="Arial" w:cs="Arial"/>
                <w:szCs w:val="22"/>
              </w:rPr>
              <w:t>.</w:t>
            </w:r>
            <w:r w:rsidR="007D0828" w:rsidRPr="007D0828">
              <w:rPr>
                <w:rFonts w:ascii="Arial" w:hAnsi="Arial" w:cs="Arial"/>
                <w:szCs w:val="22"/>
              </w:rPr>
              <w:t>653m</w:t>
            </w:r>
          </w:p>
        </w:tc>
        <w:tc>
          <w:tcPr>
            <w:tcW w:w="1418" w:type="dxa"/>
            <w:shd w:val="clear" w:color="auto" w:fill="auto"/>
            <w:vAlign w:val="center"/>
          </w:tcPr>
          <w:p w:rsidR="00F45AC7" w:rsidRPr="007D0828" w:rsidRDefault="0071096E" w:rsidP="001D14DD">
            <w:pPr>
              <w:pStyle w:val="BodyText"/>
              <w:spacing w:after="0"/>
              <w:jc w:val="right"/>
              <w:rPr>
                <w:rFonts w:ascii="Arial" w:hAnsi="Arial" w:cs="Arial"/>
                <w:szCs w:val="22"/>
              </w:rPr>
            </w:pPr>
            <w:r w:rsidRPr="007D0828">
              <w:rPr>
                <w:rFonts w:ascii="Arial" w:hAnsi="Arial" w:cs="Arial"/>
                <w:szCs w:val="22"/>
              </w:rPr>
              <w:t>£</w:t>
            </w:r>
            <w:r w:rsidR="001D14DD">
              <w:rPr>
                <w:rFonts w:ascii="Arial" w:hAnsi="Arial" w:cs="Arial"/>
                <w:szCs w:val="22"/>
              </w:rPr>
              <w:t>310</w:t>
            </w:r>
            <w:r w:rsidRPr="007D0828">
              <w:rPr>
                <w:rFonts w:ascii="Arial" w:hAnsi="Arial" w:cs="Arial"/>
                <w:szCs w:val="22"/>
              </w:rPr>
              <w:t>.</w:t>
            </w:r>
            <w:r w:rsidR="007D0828" w:rsidRPr="007D0828">
              <w:rPr>
                <w:rFonts w:ascii="Arial" w:hAnsi="Arial" w:cs="Arial"/>
                <w:szCs w:val="22"/>
              </w:rPr>
              <w:t>498m</w:t>
            </w:r>
          </w:p>
        </w:tc>
        <w:tc>
          <w:tcPr>
            <w:tcW w:w="1417" w:type="dxa"/>
            <w:shd w:val="clear" w:color="auto" w:fill="auto"/>
            <w:vAlign w:val="center"/>
          </w:tcPr>
          <w:p w:rsidR="00F45AC7" w:rsidRPr="007D0828" w:rsidRDefault="0071096E" w:rsidP="001D14DD">
            <w:pPr>
              <w:pStyle w:val="BodyText"/>
              <w:spacing w:after="0"/>
              <w:jc w:val="right"/>
              <w:rPr>
                <w:rFonts w:ascii="Arial" w:hAnsi="Arial" w:cs="Arial"/>
                <w:szCs w:val="22"/>
              </w:rPr>
            </w:pPr>
            <w:r w:rsidRPr="007D0828">
              <w:rPr>
                <w:rFonts w:ascii="Arial" w:hAnsi="Arial" w:cs="Arial"/>
                <w:szCs w:val="22"/>
              </w:rPr>
              <w:t>£</w:t>
            </w:r>
            <w:r w:rsidR="001D14DD">
              <w:rPr>
                <w:rFonts w:ascii="Arial" w:hAnsi="Arial" w:cs="Arial"/>
                <w:szCs w:val="22"/>
              </w:rPr>
              <w:t>309</w:t>
            </w:r>
            <w:r w:rsidRPr="007D0828">
              <w:rPr>
                <w:rFonts w:ascii="Arial" w:hAnsi="Arial" w:cs="Arial"/>
                <w:szCs w:val="22"/>
              </w:rPr>
              <w:t>.</w:t>
            </w:r>
            <w:r w:rsidR="007D0828" w:rsidRPr="007D0828">
              <w:rPr>
                <w:rFonts w:ascii="Arial" w:hAnsi="Arial" w:cs="Arial"/>
                <w:szCs w:val="22"/>
              </w:rPr>
              <w:t>358m</w:t>
            </w:r>
          </w:p>
        </w:tc>
        <w:tc>
          <w:tcPr>
            <w:tcW w:w="1531" w:type="dxa"/>
            <w:shd w:val="clear" w:color="auto" w:fill="auto"/>
            <w:vAlign w:val="center"/>
          </w:tcPr>
          <w:p w:rsidR="00F45AC7" w:rsidRPr="007D0828" w:rsidRDefault="0071096E" w:rsidP="001D14DD">
            <w:pPr>
              <w:pStyle w:val="BodyText"/>
              <w:spacing w:after="0"/>
              <w:jc w:val="right"/>
              <w:rPr>
                <w:rFonts w:ascii="Arial" w:hAnsi="Arial" w:cs="Arial"/>
                <w:szCs w:val="22"/>
              </w:rPr>
            </w:pPr>
            <w:r w:rsidRPr="007D0828">
              <w:rPr>
                <w:rFonts w:ascii="Arial" w:hAnsi="Arial" w:cs="Arial"/>
                <w:szCs w:val="22"/>
              </w:rPr>
              <w:t>£</w:t>
            </w:r>
            <w:r w:rsidR="001D14DD">
              <w:rPr>
                <w:rFonts w:ascii="Arial" w:hAnsi="Arial" w:cs="Arial"/>
                <w:szCs w:val="22"/>
              </w:rPr>
              <w:t>308</w:t>
            </w:r>
            <w:r w:rsidRPr="007D0828">
              <w:rPr>
                <w:rFonts w:ascii="Arial" w:hAnsi="Arial" w:cs="Arial"/>
                <w:szCs w:val="22"/>
              </w:rPr>
              <w:t>.</w:t>
            </w:r>
            <w:r w:rsidR="007D0828" w:rsidRPr="007D0828">
              <w:rPr>
                <w:rFonts w:ascii="Arial" w:hAnsi="Arial" w:cs="Arial"/>
                <w:szCs w:val="22"/>
              </w:rPr>
              <w:t>232m</w:t>
            </w:r>
          </w:p>
        </w:tc>
      </w:tr>
      <w:tr w:rsidR="00F45AC7" w:rsidRPr="008D7D6A" w:rsidTr="0077594B">
        <w:tc>
          <w:tcPr>
            <w:tcW w:w="2929" w:type="dxa"/>
            <w:shd w:val="clear" w:color="auto" w:fill="auto"/>
            <w:vAlign w:val="center"/>
          </w:tcPr>
          <w:p w:rsidR="00F45AC7" w:rsidRPr="00822040" w:rsidRDefault="00F45AC7" w:rsidP="00822040">
            <w:pPr>
              <w:pStyle w:val="BodyText"/>
              <w:spacing w:after="0"/>
              <w:rPr>
                <w:rFonts w:ascii="Arial" w:hAnsi="Arial" w:cs="Arial"/>
                <w:iCs/>
                <w:szCs w:val="22"/>
              </w:rPr>
            </w:pPr>
            <w:r w:rsidRPr="00822040">
              <w:rPr>
                <w:rFonts w:ascii="Arial" w:hAnsi="Arial" w:cs="Arial"/>
                <w:bCs/>
                <w:szCs w:val="22"/>
              </w:rPr>
              <w:t xml:space="preserve">Authorised limit for external debt  Table </w:t>
            </w:r>
            <w:r w:rsidR="00822040" w:rsidRPr="00822040">
              <w:rPr>
                <w:rFonts w:ascii="Arial" w:hAnsi="Arial" w:cs="Arial"/>
                <w:bCs/>
                <w:szCs w:val="22"/>
              </w:rPr>
              <w:t>9</w:t>
            </w:r>
          </w:p>
        </w:tc>
        <w:tc>
          <w:tcPr>
            <w:tcW w:w="1417" w:type="dxa"/>
            <w:shd w:val="clear" w:color="auto" w:fill="auto"/>
            <w:vAlign w:val="center"/>
          </w:tcPr>
          <w:p w:rsidR="00F45AC7" w:rsidRPr="007D0828" w:rsidRDefault="00F45AC7" w:rsidP="001D14DD">
            <w:pPr>
              <w:pStyle w:val="BodyText"/>
              <w:spacing w:after="0"/>
              <w:jc w:val="right"/>
              <w:rPr>
                <w:rFonts w:ascii="Arial" w:hAnsi="Arial" w:cs="Arial"/>
                <w:szCs w:val="22"/>
              </w:rPr>
            </w:pPr>
            <w:r w:rsidRPr="007D0828">
              <w:rPr>
                <w:rFonts w:ascii="Arial" w:hAnsi="Arial" w:cs="Arial"/>
                <w:szCs w:val="22"/>
              </w:rPr>
              <w:t>£</w:t>
            </w:r>
            <w:r w:rsidR="001D14DD">
              <w:rPr>
                <w:rFonts w:ascii="Arial" w:hAnsi="Arial" w:cs="Arial"/>
                <w:szCs w:val="22"/>
              </w:rPr>
              <w:t>315</w:t>
            </w:r>
            <w:r w:rsidRPr="007D0828">
              <w:rPr>
                <w:rFonts w:ascii="Arial" w:hAnsi="Arial" w:cs="Arial"/>
                <w:szCs w:val="22"/>
              </w:rPr>
              <w:t>.</w:t>
            </w:r>
            <w:r w:rsidR="001D14DD">
              <w:rPr>
                <w:rFonts w:ascii="Arial" w:hAnsi="Arial" w:cs="Arial"/>
                <w:szCs w:val="22"/>
              </w:rPr>
              <w:t>6</w:t>
            </w:r>
            <w:r w:rsidR="007D0828" w:rsidRPr="007D0828">
              <w:rPr>
                <w:rFonts w:ascii="Arial" w:hAnsi="Arial" w:cs="Arial"/>
                <w:szCs w:val="22"/>
              </w:rPr>
              <w:t>86m</w:t>
            </w:r>
          </w:p>
        </w:tc>
        <w:tc>
          <w:tcPr>
            <w:tcW w:w="1418" w:type="dxa"/>
            <w:shd w:val="clear" w:color="auto" w:fill="auto"/>
            <w:vAlign w:val="center"/>
          </w:tcPr>
          <w:p w:rsidR="00F45AC7" w:rsidRPr="007D0828" w:rsidRDefault="0071096E" w:rsidP="001D14DD">
            <w:pPr>
              <w:pStyle w:val="BodyText"/>
              <w:spacing w:after="0"/>
              <w:jc w:val="right"/>
              <w:rPr>
                <w:rFonts w:ascii="Arial" w:hAnsi="Arial" w:cs="Arial"/>
                <w:szCs w:val="22"/>
              </w:rPr>
            </w:pPr>
            <w:r w:rsidRPr="007D0828">
              <w:rPr>
                <w:rFonts w:ascii="Arial" w:hAnsi="Arial" w:cs="Arial"/>
                <w:szCs w:val="22"/>
              </w:rPr>
              <w:t>£3</w:t>
            </w:r>
            <w:r w:rsidR="001D14DD">
              <w:rPr>
                <w:rFonts w:ascii="Arial" w:hAnsi="Arial" w:cs="Arial"/>
                <w:szCs w:val="22"/>
              </w:rPr>
              <w:t>26</w:t>
            </w:r>
            <w:r w:rsidRPr="007D0828">
              <w:rPr>
                <w:rFonts w:ascii="Arial" w:hAnsi="Arial" w:cs="Arial"/>
                <w:szCs w:val="22"/>
              </w:rPr>
              <w:t>.</w:t>
            </w:r>
            <w:r w:rsidR="001D14DD">
              <w:rPr>
                <w:rFonts w:ascii="Arial" w:hAnsi="Arial" w:cs="Arial"/>
                <w:szCs w:val="22"/>
              </w:rPr>
              <w:t>0</w:t>
            </w:r>
            <w:r w:rsidR="007D0828" w:rsidRPr="007D0828">
              <w:rPr>
                <w:rFonts w:ascii="Arial" w:hAnsi="Arial" w:cs="Arial"/>
                <w:szCs w:val="22"/>
              </w:rPr>
              <w:t>23m</w:t>
            </w:r>
          </w:p>
        </w:tc>
        <w:tc>
          <w:tcPr>
            <w:tcW w:w="1417" w:type="dxa"/>
            <w:shd w:val="clear" w:color="auto" w:fill="auto"/>
            <w:vAlign w:val="center"/>
          </w:tcPr>
          <w:p w:rsidR="00F45AC7" w:rsidRPr="007D0828" w:rsidRDefault="0071096E" w:rsidP="001D14DD">
            <w:pPr>
              <w:pStyle w:val="BodyText"/>
              <w:spacing w:after="0"/>
              <w:jc w:val="right"/>
              <w:rPr>
                <w:rFonts w:ascii="Arial" w:hAnsi="Arial" w:cs="Arial"/>
                <w:szCs w:val="22"/>
              </w:rPr>
            </w:pPr>
            <w:r w:rsidRPr="007D0828">
              <w:rPr>
                <w:rFonts w:ascii="Arial" w:hAnsi="Arial" w:cs="Arial"/>
                <w:szCs w:val="22"/>
              </w:rPr>
              <w:t>£3</w:t>
            </w:r>
            <w:r w:rsidR="001D14DD">
              <w:rPr>
                <w:rFonts w:ascii="Arial" w:hAnsi="Arial" w:cs="Arial"/>
                <w:szCs w:val="22"/>
              </w:rPr>
              <w:t>24</w:t>
            </w:r>
            <w:r w:rsidRPr="007D0828">
              <w:rPr>
                <w:rFonts w:ascii="Arial" w:hAnsi="Arial" w:cs="Arial"/>
                <w:szCs w:val="22"/>
              </w:rPr>
              <w:t>.</w:t>
            </w:r>
            <w:r w:rsidR="001D14DD">
              <w:rPr>
                <w:rFonts w:ascii="Arial" w:hAnsi="Arial" w:cs="Arial"/>
                <w:szCs w:val="22"/>
              </w:rPr>
              <w:t>8</w:t>
            </w:r>
            <w:r w:rsidR="007D0828" w:rsidRPr="007D0828">
              <w:rPr>
                <w:rFonts w:ascii="Arial" w:hAnsi="Arial" w:cs="Arial"/>
                <w:szCs w:val="22"/>
              </w:rPr>
              <w:t>26m</w:t>
            </w:r>
          </w:p>
        </w:tc>
        <w:tc>
          <w:tcPr>
            <w:tcW w:w="1531" w:type="dxa"/>
            <w:shd w:val="clear" w:color="auto" w:fill="auto"/>
            <w:vAlign w:val="center"/>
          </w:tcPr>
          <w:p w:rsidR="00F45AC7" w:rsidRPr="007D0828" w:rsidRDefault="0071096E" w:rsidP="001D14DD">
            <w:pPr>
              <w:pStyle w:val="BodyText"/>
              <w:spacing w:after="0"/>
              <w:jc w:val="right"/>
              <w:rPr>
                <w:rFonts w:ascii="Arial" w:hAnsi="Arial" w:cs="Arial"/>
                <w:szCs w:val="22"/>
              </w:rPr>
            </w:pPr>
            <w:r w:rsidRPr="007D0828">
              <w:rPr>
                <w:rFonts w:ascii="Arial" w:hAnsi="Arial" w:cs="Arial"/>
                <w:szCs w:val="22"/>
              </w:rPr>
              <w:t>£3</w:t>
            </w:r>
            <w:r w:rsidR="001D14DD">
              <w:rPr>
                <w:rFonts w:ascii="Arial" w:hAnsi="Arial" w:cs="Arial"/>
                <w:szCs w:val="22"/>
              </w:rPr>
              <w:t>23</w:t>
            </w:r>
            <w:r w:rsidRPr="007D0828">
              <w:rPr>
                <w:rFonts w:ascii="Arial" w:hAnsi="Arial" w:cs="Arial"/>
                <w:szCs w:val="22"/>
              </w:rPr>
              <w:t>.</w:t>
            </w:r>
            <w:r w:rsidR="001D14DD">
              <w:rPr>
                <w:rFonts w:ascii="Arial" w:hAnsi="Arial" w:cs="Arial"/>
                <w:szCs w:val="22"/>
              </w:rPr>
              <w:t>6</w:t>
            </w:r>
            <w:r w:rsidR="007D0828" w:rsidRPr="007D0828">
              <w:rPr>
                <w:rFonts w:ascii="Arial" w:hAnsi="Arial" w:cs="Arial"/>
                <w:szCs w:val="22"/>
              </w:rPr>
              <w:t>44m</w:t>
            </w:r>
          </w:p>
        </w:tc>
      </w:tr>
    </w:tbl>
    <w:p w:rsidR="004006B3" w:rsidRDefault="004006B3" w:rsidP="005804A2">
      <w:pPr>
        <w:pStyle w:val="Heading8"/>
        <w:ind w:left="680"/>
        <w:rPr>
          <w:color w:val="auto"/>
          <w:sz w:val="24"/>
          <w:szCs w:val="24"/>
          <w:highlight w:val="yellow"/>
        </w:rPr>
      </w:pPr>
    </w:p>
    <w:p w:rsidR="007D4C52" w:rsidRPr="003529B9" w:rsidRDefault="007D4C52" w:rsidP="005804A2">
      <w:pPr>
        <w:pStyle w:val="Heading8"/>
        <w:ind w:left="680"/>
        <w:rPr>
          <w:color w:val="auto"/>
          <w:sz w:val="24"/>
          <w:szCs w:val="24"/>
        </w:rPr>
      </w:pPr>
      <w:r w:rsidRPr="003529B9">
        <w:rPr>
          <w:color w:val="auto"/>
          <w:sz w:val="24"/>
          <w:szCs w:val="24"/>
        </w:rPr>
        <w:t>Table 2 – Treasury Management</w:t>
      </w:r>
    </w:p>
    <w:p w:rsidR="004006B3" w:rsidRPr="004006B3" w:rsidRDefault="004006B3" w:rsidP="004006B3">
      <w:pPr>
        <w:rPr>
          <w:highlight w:val="yellow"/>
        </w:rPr>
      </w:pPr>
    </w:p>
    <w:tbl>
      <w:tblPr>
        <w:tblW w:w="8741"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9"/>
        <w:gridCol w:w="1560"/>
        <w:gridCol w:w="1842"/>
        <w:gridCol w:w="1560"/>
      </w:tblGrid>
      <w:tr w:rsidR="007D4C52" w:rsidRPr="008D7D6A" w:rsidTr="00116C42">
        <w:trPr>
          <w:cantSplit/>
          <w:trHeight w:val="520"/>
        </w:trPr>
        <w:tc>
          <w:tcPr>
            <w:tcW w:w="3779" w:type="dxa"/>
            <w:shd w:val="clear" w:color="auto" w:fill="D9D9D9"/>
          </w:tcPr>
          <w:p w:rsidR="007D4C52" w:rsidRPr="003529B9" w:rsidRDefault="007D4C52" w:rsidP="005804A2">
            <w:pPr>
              <w:pStyle w:val="BodyText"/>
              <w:spacing w:after="0"/>
              <w:jc w:val="center"/>
              <w:rPr>
                <w:rFonts w:ascii="Arial" w:hAnsi="Arial" w:cs="Arial"/>
                <w:b/>
                <w:bCs/>
                <w:sz w:val="22"/>
                <w:szCs w:val="22"/>
              </w:rPr>
            </w:pPr>
          </w:p>
        </w:tc>
        <w:tc>
          <w:tcPr>
            <w:tcW w:w="1560" w:type="dxa"/>
            <w:shd w:val="clear" w:color="auto" w:fill="D9D9D9"/>
          </w:tcPr>
          <w:p w:rsidR="00431362" w:rsidRPr="003529B9" w:rsidRDefault="00431362" w:rsidP="005804A2">
            <w:pPr>
              <w:pStyle w:val="BodyText"/>
              <w:spacing w:after="0"/>
              <w:jc w:val="center"/>
              <w:rPr>
                <w:rFonts w:ascii="Arial" w:hAnsi="Arial" w:cs="Arial"/>
                <w:b/>
                <w:bCs/>
                <w:sz w:val="22"/>
                <w:szCs w:val="22"/>
              </w:rPr>
            </w:pPr>
            <w:r w:rsidRPr="003529B9">
              <w:rPr>
                <w:rFonts w:ascii="Arial" w:hAnsi="Arial" w:cs="Arial"/>
                <w:b/>
                <w:bCs/>
                <w:sz w:val="22"/>
                <w:szCs w:val="22"/>
              </w:rPr>
              <w:t>201</w:t>
            </w:r>
            <w:r w:rsidR="00E03F05" w:rsidRPr="003529B9">
              <w:rPr>
                <w:rFonts w:ascii="Arial" w:hAnsi="Arial" w:cs="Arial"/>
                <w:b/>
                <w:bCs/>
                <w:sz w:val="22"/>
                <w:szCs w:val="22"/>
              </w:rPr>
              <w:t>9</w:t>
            </w:r>
            <w:r w:rsidR="000C1EE0" w:rsidRPr="003529B9">
              <w:rPr>
                <w:rFonts w:ascii="Arial" w:hAnsi="Arial" w:cs="Arial"/>
                <w:b/>
                <w:bCs/>
                <w:sz w:val="22"/>
                <w:szCs w:val="22"/>
              </w:rPr>
              <w:t>/</w:t>
            </w:r>
            <w:r w:rsidR="00E03F05" w:rsidRPr="003529B9">
              <w:rPr>
                <w:rFonts w:ascii="Arial" w:hAnsi="Arial" w:cs="Arial"/>
                <w:b/>
                <w:bCs/>
                <w:sz w:val="22"/>
                <w:szCs w:val="22"/>
              </w:rPr>
              <w:t>20</w:t>
            </w:r>
          </w:p>
          <w:p w:rsidR="007D4C52" w:rsidRPr="003529B9" w:rsidRDefault="007D4C52" w:rsidP="005804A2">
            <w:pPr>
              <w:pStyle w:val="BodyText"/>
              <w:spacing w:after="0"/>
              <w:jc w:val="center"/>
              <w:rPr>
                <w:rFonts w:ascii="Arial" w:hAnsi="Arial" w:cs="Arial"/>
                <w:b/>
                <w:bCs/>
                <w:sz w:val="22"/>
                <w:szCs w:val="22"/>
              </w:rPr>
            </w:pPr>
            <w:r w:rsidRPr="003529B9">
              <w:rPr>
                <w:rFonts w:ascii="Arial" w:hAnsi="Arial" w:cs="Arial"/>
                <w:b/>
                <w:bCs/>
                <w:sz w:val="22"/>
                <w:szCs w:val="22"/>
              </w:rPr>
              <w:t>Upper</w:t>
            </w:r>
          </w:p>
          <w:p w:rsidR="007D4C52" w:rsidRPr="003529B9" w:rsidRDefault="007D4C52" w:rsidP="005804A2">
            <w:pPr>
              <w:pStyle w:val="BodyText"/>
              <w:spacing w:after="0"/>
              <w:jc w:val="center"/>
              <w:rPr>
                <w:rFonts w:ascii="Arial" w:hAnsi="Arial" w:cs="Arial"/>
                <w:b/>
                <w:bCs/>
                <w:sz w:val="22"/>
                <w:szCs w:val="22"/>
              </w:rPr>
            </w:pPr>
            <w:r w:rsidRPr="003529B9">
              <w:rPr>
                <w:rFonts w:ascii="Arial" w:hAnsi="Arial" w:cs="Arial"/>
                <w:b/>
                <w:bCs/>
                <w:sz w:val="22"/>
                <w:szCs w:val="22"/>
              </w:rPr>
              <w:t>Limit</w:t>
            </w:r>
          </w:p>
        </w:tc>
        <w:tc>
          <w:tcPr>
            <w:tcW w:w="1842" w:type="dxa"/>
            <w:shd w:val="clear" w:color="auto" w:fill="D9D9D9"/>
          </w:tcPr>
          <w:p w:rsidR="007D4C52" w:rsidRPr="003529B9" w:rsidRDefault="00431362" w:rsidP="005804A2">
            <w:pPr>
              <w:pStyle w:val="BodyText"/>
              <w:spacing w:after="0"/>
              <w:jc w:val="center"/>
              <w:rPr>
                <w:rFonts w:ascii="Arial" w:hAnsi="Arial" w:cs="Arial"/>
                <w:b/>
                <w:bCs/>
                <w:sz w:val="22"/>
                <w:szCs w:val="22"/>
              </w:rPr>
            </w:pPr>
            <w:r w:rsidRPr="003529B9">
              <w:rPr>
                <w:rFonts w:ascii="Arial" w:hAnsi="Arial" w:cs="Arial"/>
                <w:b/>
                <w:bCs/>
                <w:sz w:val="22"/>
                <w:szCs w:val="22"/>
              </w:rPr>
              <w:t>20</w:t>
            </w:r>
            <w:r w:rsidR="00E03F05" w:rsidRPr="003529B9">
              <w:rPr>
                <w:rFonts w:ascii="Arial" w:hAnsi="Arial" w:cs="Arial"/>
                <w:b/>
                <w:bCs/>
                <w:sz w:val="22"/>
                <w:szCs w:val="22"/>
              </w:rPr>
              <w:t>20</w:t>
            </w:r>
            <w:r w:rsidR="000C1EE0" w:rsidRPr="003529B9">
              <w:rPr>
                <w:rFonts w:ascii="Arial" w:hAnsi="Arial" w:cs="Arial"/>
                <w:b/>
                <w:bCs/>
                <w:sz w:val="22"/>
                <w:szCs w:val="22"/>
              </w:rPr>
              <w:t>/2</w:t>
            </w:r>
            <w:r w:rsidR="00E03F05" w:rsidRPr="003529B9">
              <w:rPr>
                <w:rFonts w:ascii="Arial" w:hAnsi="Arial" w:cs="Arial"/>
                <w:b/>
                <w:bCs/>
                <w:sz w:val="22"/>
                <w:szCs w:val="22"/>
              </w:rPr>
              <w:t>1</w:t>
            </w:r>
          </w:p>
          <w:p w:rsidR="007D4C52" w:rsidRPr="003529B9" w:rsidRDefault="007D4C52" w:rsidP="005804A2">
            <w:pPr>
              <w:pStyle w:val="BodyText"/>
              <w:spacing w:after="0"/>
              <w:jc w:val="center"/>
              <w:rPr>
                <w:rFonts w:ascii="Arial" w:hAnsi="Arial" w:cs="Arial"/>
                <w:b/>
                <w:bCs/>
                <w:sz w:val="22"/>
                <w:szCs w:val="22"/>
              </w:rPr>
            </w:pPr>
            <w:r w:rsidRPr="003529B9">
              <w:rPr>
                <w:rFonts w:ascii="Arial" w:hAnsi="Arial" w:cs="Arial"/>
                <w:b/>
                <w:bCs/>
                <w:sz w:val="22"/>
                <w:szCs w:val="22"/>
              </w:rPr>
              <w:t>Upper</w:t>
            </w:r>
          </w:p>
          <w:p w:rsidR="007D4C52" w:rsidRPr="003529B9" w:rsidRDefault="007D4C52" w:rsidP="005804A2">
            <w:pPr>
              <w:pStyle w:val="BodyText"/>
              <w:spacing w:after="0"/>
              <w:jc w:val="center"/>
              <w:rPr>
                <w:rFonts w:ascii="Arial" w:hAnsi="Arial" w:cs="Arial"/>
                <w:b/>
                <w:bCs/>
                <w:sz w:val="22"/>
                <w:szCs w:val="22"/>
              </w:rPr>
            </w:pPr>
            <w:r w:rsidRPr="003529B9">
              <w:rPr>
                <w:rFonts w:ascii="Arial" w:hAnsi="Arial" w:cs="Arial"/>
                <w:b/>
                <w:bCs/>
                <w:sz w:val="22"/>
                <w:szCs w:val="22"/>
              </w:rPr>
              <w:t>Limit</w:t>
            </w:r>
          </w:p>
        </w:tc>
        <w:tc>
          <w:tcPr>
            <w:tcW w:w="1560" w:type="dxa"/>
            <w:shd w:val="clear" w:color="auto" w:fill="D9D9D9"/>
          </w:tcPr>
          <w:p w:rsidR="007D4C52" w:rsidRPr="003529B9" w:rsidRDefault="000C1EE0" w:rsidP="005804A2">
            <w:pPr>
              <w:pStyle w:val="BodyText"/>
              <w:spacing w:after="0"/>
              <w:jc w:val="center"/>
              <w:rPr>
                <w:rFonts w:ascii="Arial" w:hAnsi="Arial" w:cs="Arial"/>
                <w:b/>
                <w:bCs/>
                <w:sz w:val="22"/>
                <w:szCs w:val="22"/>
              </w:rPr>
            </w:pPr>
            <w:r w:rsidRPr="003529B9">
              <w:rPr>
                <w:rFonts w:ascii="Arial" w:hAnsi="Arial" w:cs="Arial"/>
                <w:b/>
                <w:bCs/>
                <w:sz w:val="22"/>
                <w:szCs w:val="22"/>
              </w:rPr>
              <w:t>202</w:t>
            </w:r>
            <w:r w:rsidR="00E03F05" w:rsidRPr="003529B9">
              <w:rPr>
                <w:rFonts w:ascii="Arial" w:hAnsi="Arial" w:cs="Arial"/>
                <w:b/>
                <w:bCs/>
                <w:sz w:val="22"/>
                <w:szCs w:val="22"/>
              </w:rPr>
              <w:t>1</w:t>
            </w:r>
            <w:r w:rsidRPr="003529B9">
              <w:rPr>
                <w:rFonts w:ascii="Arial" w:hAnsi="Arial" w:cs="Arial"/>
                <w:b/>
                <w:bCs/>
                <w:sz w:val="22"/>
                <w:szCs w:val="22"/>
              </w:rPr>
              <w:t>/2</w:t>
            </w:r>
            <w:r w:rsidR="00E03F05" w:rsidRPr="003529B9">
              <w:rPr>
                <w:rFonts w:ascii="Arial" w:hAnsi="Arial" w:cs="Arial"/>
                <w:b/>
                <w:bCs/>
                <w:sz w:val="22"/>
                <w:szCs w:val="22"/>
              </w:rPr>
              <w:t>2</w:t>
            </w:r>
          </w:p>
          <w:p w:rsidR="007D4C52" w:rsidRPr="003529B9" w:rsidRDefault="007D4C52" w:rsidP="005804A2">
            <w:pPr>
              <w:pStyle w:val="BodyText"/>
              <w:spacing w:after="0"/>
              <w:jc w:val="center"/>
              <w:rPr>
                <w:rFonts w:ascii="Arial" w:hAnsi="Arial" w:cs="Arial"/>
                <w:b/>
                <w:bCs/>
                <w:sz w:val="22"/>
                <w:szCs w:val="22"/>
              </w:rPr>
            </w:pPr>
            <w:r w:rsidRPr="003529B9">
              <w:rPr>
                <w:rFonts w:ascii="Arial" w:hAnsi="Arial" w:cs="Arial"/>
                <w:b/>
                <w:bCs/>
                <w:sz w:val="22"/>
                <w:szCs w:val="22"/>
              </w:rPr>
              <w:t>Upper</w:t>
            </w:r>
          </w:p>
          <w:p w:rsidR="007D4C52" w:rsidRPr="003529B9" w:rsidRDefault="007D4C52" w:rsidP="005804A2">
            <w:pPr>
              <w:pStyle w:val="BodyText"/>
              <w:spacing w:after="0"/>
              <w:jc w:val="center"/>
              <w:rPr>
                <w:rFonts w:ascii="Arial" w:hAnsi="Arial" w:cs="Arial"/>
                <w:b/>
                <w:bCs/>
                <w:sz w:val="22"/>
                <w:szCs w:val="22"/>
              </w:rPr>
            </w:pPr>
            <w:r w:rsidRPr="003529B9">
              <w:rPr>
                <w:rFonts w:ascii="Arial" w:hAnsi="Arial" w:cs="Arial"/>
                <w:b/>
                <w:bCs/>
                <w:sz w:val="22"/>
                <w:szCs w:val="22"/>
              </w:rPr>
              <w:t>Limit</w:t>
            </w:r>
          </w:p>
        </w:tc>
      </w:tr>
      <w:tr w:rsidR="007D4C52" w:rsidRPr="008D7D6A" w:rsidTr="00116C42">
        <w:tc>
          <w:tcPr>
            <w:tcW w:w="3779" w:type="dxa"/>
          </w:tcPr>
          <w:p w:rsidR="007D4C52" w:rsidRPr="003529B9" w:rsidRDefault="007D4C52" w:rsidP="005804A2">
            <w:pPr>
              <w:pStyle w:val="BodyText"/>
              <w:spacing w:after="0"/>
              <w:rPr>
                <w:rFonts w:ascii="Arial" w:hAnsi="Arial" w:cs="Arial"/>
                <w:b/>
                <w:bCs/>
                <w:sz w:val="22"/>
                <w:szCs w:val="22"/>
              </w:rPr>
            </w:pPr>
            <w:r w:rsidRPr="003529B9">
              <w:rPr>
                <w:rFonts w:ascii="Arial" w:hAnsi="Arial" w:cs="Arial"/>
                <w:b/>
                <w:bCs/>
                <w:sz w:val="22"/>
                <w:szCs w:val="22"/>
              </w:rPr>
              <w:t>Limits on fixed interest rates</w:t>
            </w:r>
          </w:p>
        </w:tc>
        <w:tc>
          <w:tcPr>
            <w:tcW w:w="1560" w:type="dxa"/>
          </w:tcPr>
          <w:p w:rsidR="007D4C52" w:rsidRPr="003529B9" w:rsidRDefault="00691617" w:rsidP="005804A2">
            <w:pPr>
              <w:pStyle w:val="BodyText"/>
              <w:spacing w:after="0"/>
              <w:jc w:val="center"/>
              <w:rPr>
                <w:rFonts w:ascii="Arial" w:hAnsi="Arial" w:cs="Arial"/>
                <w:sz w:val="22"/>
                <w:szCs w:val="22"/>
              </w:rPr>
            </w:pPr>
            <w:r w:rsidRPr="003529B9">
              <w:rPr>
                <w:rFonts w:ascii="Arial" w:hAnsi="Arial" w:cs="Arial"/>
                <w:sz w:val="22"/>
                <w:szCs w:val="22"/>
              </w:rPr>
              <w:t>100%</w:t>
            </w:r>
          </w:p>
        </w:tc>
        <w:tc>
          <w:tcPr>
            <w:tcW w:w="1842" w:type="dxa"/>
          </w:tcPr>
          <w:p w:rsidR="007D4C52" w:rsidRPr="003529B9" w:rsidRDefault="00691617" w:rsidP="005804A2">
            <w:pPr>
              <w:pStyle w:val="BodyText"/>
              <w:spacing w:after="0"/>
              <w:jc w:val="center"/>
              <w:rPr>
                <w:rFonts w:ascii="Arial" w:hAnsi="Arial" w:cs="Arial"/>
                <w:sz w:val="22"/>
                <w:szCs w:val="22"/>
              </w:rPr>
            </w:pPr>
            <w:r w:rsidRPr="003529B9">
              <w:rPr>
                <w:rFonts w:ascii="Arial" w:hAnsi="Arial" w:cs="Arial"/>
                <w:sz w:val="22"/>
                <w:szCs w:val="22"/>
              </w:rPr>
              <w:t>100%</w:t>
            </w:r>
          </w:p>
        </w:tc>
        <w:tc>
          <w:tcPr>
            <w:tcW w:w="1560" w:type="dxa"/>
          </w:tcPr>
          <w:p w:rsidR="007D4C52" w:rsidRPr="003529B9" w:rsidRDefault="00691617" w:rsidP="005804A2">
            <w:pPr>
              <w:pStyle w:val="BodyText"/>
              <w:spacing w:after="0"/>
              <w:jc w:val="center"/>
              <w:rPr>
                <w:rFonts w:ascii="Arial" w:hAnsi="Arial" w:cs="Arial"/>
                <w:sz w:val="22"/>
                <w:szCs w:val="22"/>
              </w:rPr>
            </w:pPr>
            <w:r w:rsidRPr="003529B9">
              <w:rPr>
                <w:rFonts w:ascii="Arial" w:hAnsi="Arial" w:cs="Arial"/>
                <w:sz w:val="22"/>
                <w:szCs w:val="22"/>
              </w:rPr>
              <w:t>100%</w:t>
            </w:r>
          </w:p>
        </w:tc>
      </w:tr>
      <w:tr w:rsidR="007D4C52" w:rsidRPr="008D7D6A" w:rsidTr="00116C42">
        <w:tc>
          <w:tcPr>
            <w:tcW w:w="3779" w:type="dxa"/>
          </w:tcPr>
          <w:p w:rsidR="007D4C52" w:rsidRPr="003529B9" w:rsidRDefault="007D4C52" w:rsidP="005804A2">
            <w:pPr>
              <w:pStyle w:val="BodyText"/>
              <w:spacing w:after="0"/>
              <w:rPr>
                <w:rFonts w:ascii="Arial" w:hAnsi="Arial" w:cs="Arial"/>
                <w:b/>
                <w:bCs/>
                <w:sz w:val="22"/>
                <w:szCs w:val="22"/>
              </w:rPr>
            </w:pPr>
            <w:r w:rsidRPr="003529B9">
              <w:rPr>
                <w:rFonts w:ascii="Arial" w:hAnsi="Arial" w:cs="Arial"/>
                <w:b/>
                <w:bCs/>
                <w:sz w:val="22"/>
                <w:szCs w:val="22"/>
              </w:rPr>
              <w:t>Limits on variable interest rates</w:t>
            </w:r>
          </w:p>
        </w:tc>
        <w:tc>
          <w:tcPr>
            <w:tcW w:w="1560" w:type="dxa"/>
          </w:tcPr>
          <w:p w:rsidR="007D4C52" w:rsidRPr="003529B9" w:rsidRDefault="00691617" w:rsidP="005804A2">
            <w:pPr>
              <w:pStyle w:val="BodyText"/>
              <w:spacing w:after="0"/>
              <w:jc w:val="center"/>
              <w:rPr>
                <w:rFonts w:ascii="Arial" w:hAnsi="Arial" w:cs="Arial"/>
                <w:sz w:val="22"/>
                <w:szCs w:val="22"/>
              </w:rPr>
            </w:pPr>
            <w:r w:rsidRPr="003529B9">
              <w:rPr>
                <w:rFonts w:ascii="Arial" w:hAnsi="Arial" w:cs="Arial"/>
                <w:sz w:val="22"/>
                <w:szCs w:val="22"/>
              </w:rPr>
              <w:t>40%</w:t>
            </w:r>
          </w:p>
        </w:tc>
        <w:tc>
          <w:tcPr>
            <w:tcW w:w="1842" w:type="dxa"/>
          </w:tcPr>
          <w:p w:rsidR="007D4C52" w:rsidRPr="003529B9" w:rsidRDefault="00691617" w:rsidP="005804A2">
            <w:pPr>
              <w:pStyle w:val="BodyText"/>
              <w:spacing w:after="0"/>
              <w:jc w:val="center"/>
              <w:rPr>
                <w:rFonts w:ascii="Arial" w:hAnsi="Arial" w:cs="Arial"/>
                <w:sz w:val="22"/>
                <w:szCs w:val="22"/>
              </w:rPr>
            </w:pPr>
            <w:r w:rsidRPr="003529B9">
              <w:rPr>
                <w:rFonts w:ascii="Arial" w:hAnsi="Arial" w:cs="Arial"/>
                <w:sz w:val="22"/>
                <w:szCs w:val="22"/>
              </w:rPr>
              <w:t>40%</w:t>
            </w:r>
          </w:p>
        </w:tc>
        <w:tc>
          <w:tcPr>
            <w:tcW w:w="1560" w:type="dxa"/>
          </w:tcPr>
          <w:p w:rsidR="007D4C52" w:rsidRPr="003529B9" w:rsidRDefault="003B6673" w:rsidP="005804A2">
            <w:pPr>
              <w:pStyle w:val="BodyText"/>
              <w:spacing w:after="0"/>
              <w:jc w:val="center"/>
              <w:rPr>
                <w:rFonts w:ascii="Arial" w:hAnsi="Arial" w:cs="Arial"/>
                <w:sz w:val="22"/>
                <w:szCs w:val="22"/>
              </w:rPr>
            </w:pPr>
            <w:r w:rsidRPr="003529B9">
              <w:rPr>
                <w:rFonts w:ascii="Arial" w:hAnsi="Arial" w:cs="Arial"/>
                <w:sz w:val="22"/>
                <w:szCs w:val="22"/>
              </w:rPr>
              <w:t>40%</w:t>
            </w:r>
          </w:p>
        </w:tc>
      </w:tr>
      <w:tr w:rsidR="007D4C52" w:rsidRPr="008D7D6A" w:rsidTr="00116C42">
        <w:tc>
          <w:tcPr>
            <w:tcW w:w="3779" w:type="dxa"/>
          </w:tcPr>
          <w:p w:rsidR="007D4C52" w:rsidRPr="003529B9" w:rsidRDefault="007D4C52" w:rsidP="005804A2">
            <w:pPr>
              <w:pStyle w:val="BodyText"/>
              <w:spacing w:after="0"/>
              <w:rPr>
                <w:rFonts w:ascii="Arial" w:hAnsi="Arial" w:cs="Arial"/>
                <w:b/>
                <w:bCs/>
                <w:sz w:val="22"/>
                <w:szCs w:val="22"/>
              </w:rPr>
            </w:pPr>
            <w:r w:rsidRPr="003529B9">
              <w:rPr>
                <w:rFonts w:ascii="Arial" w:hAnsi="Arial" w:cs="Arial"/>
                <w:b/>
                <w:bCs/>
                <w:sz w:val="22"/>
                <w:szCs w:val="22"/>
              </w:rPr>
              <w:t>Maximum principal sums invested &gt; 364 days</w:t>
            </w:r>
          </w:p>
        </w:tc>
        <w:tc>
          <w:tcPr>
            <w:tcW w:w="1560" w:type="dxa"/>
          </w:tcPr>
          <w:p w:rsidR="007D4C52" w:rsidRPr="003529B9" w:rsidRDefault="00EB407E" w:rsidP="00691F9E">
            <w:pPr>
              <w:pStyle w:val="BodyText"/>
              <w:spacing w:after="0"/>
              <w:jc w:val="center"/>
              <w:rPr>
                <w:rFonts w:ascii="Arial" w:hAnsi="Arial" w:cs="Arial"/>
                <w:sz w:val="22"/>
                <w:szCs w:val="22"/>
              </w:rPr>
            </w:pPr>
            <w:r w:rsidRPr="003529B9">
              <w:rPr>
                <w:rFonts w:ascii="Arial" w:hAnsi="Arial" w:cs="Arial"/>
                <w:sz w:val="22"/>
                <w:szCs w:val="22"/>
              </w:rPr>
              <w:t>£50</w:t>
            </w:r>
            <w:r w:rsidR="00691F9E" w:rsidRPr="003529B9">
              <w:rPr>
                <w:rFonts w:ascii="Arial" w:hAnsi="Arial" w:cs="Arial"/>
                <w:sz w:val="22"/>
                <w:szCs w:val="22"/>
              </w:rPr>
              <w:t>m</w:t>
            </w:r>
          </w:p>
        </w:tc>
        <w:tc>
          <w:tcPr>
            <w:tcW w:w="1842" w:type="dxa"/>
          </w:tcPr>
          <w:p w:rsidR="007D4C52" w:rsidRPr="003529B9" w:rsidRDefault="00EB407E" w:rsidP="00691F9E">
            <w:pPr>
              <w:pStyle w:val="BodyText"/>
              <w:spacing w:after="0"/>
              <w:jc w:val="center"/>
              <w:rPr>
                <w:rFonts w:ascii="Arial" w:hAnsi="Arial" w:cs="Arial"/>
                <w:sz w:val="22"/>
                <w:szCs w:val="22"/>
              </w:rPr>
            </w:pPr>
            <w:r w:rsidRPr="003529B9">
              <w:rPr>
                <w:rFonts w:ascii="Arial" w:hAnsi="Arial" w:cs="Arial"/>
                <w:sz w:val="22"/>
                <w:szCs w:val="22"/>
              </w:rPr>
              <w:t>£50</w:t>
            </w:r>
            <w:r w:rsidR="00691F9E" w:rsidRPr="003529B9">
              <w:rPr>
                <w:rFonts w:ascii="Arial" w:hAnsi="Arial" w:cs="Arial"/>
                <w:sz w:val="22"/>
                <w:szCs w:val="22"/>
              </w:rPr>
              <w:t>m</w:t>
            </w:r>
          </w:p>
        </w:tc>
        <w:tc>
          <w:tcPr>
            <w:tcW w:w="1560" w:type="dxa"/>
          </w:tcPr>
          <w:p w:rsidR="007D4C52" w:rsidRPr="003529B9" w:rsidRDefault="00EB407E" w:rsidP="00691F9E">
            <w:pPr>
              <w:pStyle w:val="BodyText"/>
              <w:spacing w:after="0"/>
              <w:jc w:val="center"/>
              <w:rPr>
                <w:rFonts w:ascii="Arial" w:hAnsi="Arial" w:cs="Arial"/>
                <w:sz w:val="22"/>
                <w:szCs w:val="22"/>
              </w:rPr>
            </w:pPr>
            <w:r w:rsidRPr="003529B9">
              <w:rPr>
                <w:rFonts w:ascii="Arial" w:hAnsi="Arial" w:cs="Arial"/>
                <w:sz w:val="22"/>
                <w:szCs w:val="22"/>
              </w:rPr>
              <w:t>£50</w:t>
            </w:r>
            <w:r w:rsidR="00691F9E" w:rsidRPr="003529B9">
              <w:rPr>
                <w:rFonts w:ascii="Arial" w:hAnsi="Arial" w:cs="Arial"/>
                <w:sz w:val="22"/>
                <w:szCs w:val="22"/>
              </w:rPr>
              <w:t>m</w:t>
            </w:r>
          </w:p>
        </w:tc>
      </w:tr>
      <w:tr w:rsidR="007D4C52" w:rsidRPr="008D7D6A" w:rsidTr="0077594B">
        <w:trPr>
          <w:cantSplit/>
          <w:trHeight w:val="477"/>
        </w:trPr>
        <w:tc>
          <w:tcPr>
            <w:tcW w:w="8741" w:type="dxa"/>
            <w:gridSpan w:val="4"/>
            <w:vAlign w:val="center"/>
          </w:tcPr>
          <w:p w:rsidR="007D4C52" w:rsidRPr="003529B9" w:rsidRDefault="007D4C52" w:rsidP="00E03F05">
            <w:pPr>
              <w:pStyle w:val="BodyText"/>
              <w:spacing w:after="0"/>
              <w:rPr>
                <w:rFonts w:ascii="Arial" w:hAnsi="Arial" w:cs="Arial"/>
                <w:b/>
                <w:bCs/>
                <w:sz w:val="22"/>
                <w:szCs w:val="22"/>
              </w:rPr>
            </w:pPr>
            <w:r w:rsidRPr="003529B9">
              <w:rPr>
                <w:rFonts w:ascii="Arial" w:hAnsi="Arial" w:cs="Arial"/>
                <w:b/>
                <w:bCs/>
                <w:sz w:val="22"/>
                <w:szCs w:val="22"/>
              </w:rPr>
              <w:t>Maturity Structure of fixed interest rate borrowing 201</w:t>
            </w:r>
            <w:r w:rsidR="00E03F05" w:rsidRPr="003529B9">
              <w:rPr>
                <w:rFonts w:ascii="Arial" w:hAnsi="Arial" w:cs="Arial"/>
                <w:b/>
                <w:bCs/>
                <w:sz w:val="22"/>
                <w:szCs w:val="22"/>
              </w:rPr>
              <w:t>9</w:t>
            </w:r>
            <w:r w:rsidR="000C1EE0" w:rsidRPr="003529B9">
              <w:rPr>
                <w:rFonts w:ascii="Arial" w:hAnsi="Arial" w:cs="Arial"/>
                <w:b/>
                <w:bCs/>
                <w:sz w:val="22"/>
                <w:szCs w:val="22"/>
              </w:rPr>
              <w:t>/</w:t>
            </w:r>
            <w:r w:rsidR="00E03F05" w:rsidRPr="003529B9">
              <w:rPr>
                <w:rFonts w:ascii="Arial" w:hAnsi="Arial" w:cs="Arial"/>
                <w:b/>
                <w:bCs/>
                <w:sz w:val="22"/>
                <w:szCs w:val="22"/>
              </w:rPr>
              <w:t>20</w:t>
            </w:r>
          </w:p>
        </w:tc>
      </w:tr>
      <w:tr w:rsidR="007D4C52" w:rsidRPr="008D7D6A" w:rsidTr="00116C42">
        <w:trPr>
          <w:cantSplit/>
        </w:trPr>
        <w:tc>
          <w:tcPr>
            <w:tcW w:w="5339" w:type="dxa"/>
            <w:gridSpan w:val="2"/>
          </w:tcPr>
          <w:p w:rsidR="007D4C52" w:rsidRPr="003529B9" w:rsidRDefault="007D4C52" w:rsidP="005804A2">
            <w:pPr>
              <w:pStyle w:val="BodyText"/>
              <w:spacing w:after="0"/>
              <w:rPr>
                <w:rFonts w:ascii="Arial" w:hAnsi="Arial" w:cs="Arial"/>
                <w:b/>
                <w:bCs/>
                <w:sz w:val="22"/>
                <w:szCs w:val="22"/>
              </w:rPr>
            </w:pPr>
          </w:p>
        </w:tc>
        <w:tc>
          <w:tcPr>
            <w:tcW w:w="1842" w:type="dxa"/>
          </w:tcPr>
          <w:p w:rsidR="007D4C52" w:rsidRPr="003529B9" w:rsidRDefault="007D4C52" w:rsidP="005804A2">
            <w:pPr>
              <w:pStyle w:val="BodyText"/>
              <w:spacing w:after="0"/>
              <w:jc w:val="center"/>
              <w:rPr>
                <w:rFonts w:ascii="Arial" w:hAnsi="Arial" w:cs="Arial"/>
                <w:b/>
                <w:bCs/>
                <w:sz w:val="22"/>
                <w:szCs w:val="22"/>
              </w:rPr>
            </w:pPr>
            <w:r w:rsidRPr="003529B9">
              <w:rPr>
                <w:rFonts w:ascii="Arial" w:hAnsi="Arial" w:cs="Arial"/>
                <w:b/>
                <w:bCs/>
                <w:sz w:val="22"/>
                <w:szCs w:val="22"/>
              </w:rPr>
              <w:t xml:space="preserve">Lower </w:t>
            </w:r>
          </w:p>
          <w:p w:rsidR="007D4C52" w:rsidRPr="003529B9" w:rsidRDefault="007D4C52" w:rsidP="005804A2">
            <w:pPr>
              <w:pStyle w:val="BodyText"/>
              <w:spacing w:after="0"/>
              <w:jc w:val="center"/>
              <w:rPr>
                <w:rFonts w:ascii="Arial" w:hAnsi="Arial" w:cs="Arial"/>
                <w:b/>
                <w:bCs/>
                <w:sz w:val="22"/>
                <w:szCs w:val="22"/>
              </w:rPr>
            </w:pPr>
            <w:r w:rsidRPr="003529B9">
              <w:rPr>
                <w:rFonts w:ascii="Arial" w:hAnsi="Arial" w:cs="Arial"/>
                <w:b/>
                <w:bCs/>
                <w:sz w:val="22"/>
                <w:szCs w:val="22"/>
              </w:rPr>
              <w:t>Limit</w:t>
            </w:r>
          </w:p>
        </w:tc>
        <w:tc>
          <w:tcPr>
            <w:tcW w:w="1560" w:type="dxa"/>
          </w:tcPr>
          <w:p w:rsidR="007D4C52" w:rsidRPr="003529B9" w:rsidRDefault="007D4C52" w:rsidP="005804A2">
            <w:pPr>
              <w:pStyle w:val="BodyText"/>
              <w:spacing w:after="0"/>
              <w:jc w:val="center"/>
              <w:rPr>
                <w:rFonts w:ascii="Arial" w:hAnsi="Arial" w:cs="Arial"/>
                <w:b/>
                <w:bCs/>
                <w:sz w:val="22"/>
                <w:szCs w:val="22"/>
              </w:rPr>
            </w:pPr>
            <w:r w:rsidRPr="003529B9">
              <w:rPr>
                <w:rFonts w:ascii="Arial" w:hAnsi="Arial" w:cs="Arial"/>
                <w:b/>
                <w:bCs/>
                <w:sz w:val="22"/>
                <w:szCs w:val="22"/>
              </w:rPr>
              <w:t>Upper</w:t>
            </w:r>
          </w:p>
          <w:p w:rsidR="007D4C52" w:rsidRPr="003529B9" w:rsidRDefault="007D4C52" w:rsidP="005804A2">
            <w:pPr>
              <w:pStyle w:val="BodyText"/>
              <w:spacing w:after="0"/>
              <w:jc w:val="center"/>
              <w:rPr>
                <w:rFonts w:ascii="Arial" w:hAnsi="Arial" w:cs="Arial"/>
                <w:b/>
                <w:bCs/>
                <w:sz w:val="22"/>
                <w:szCs w:val="22"/>
              </w:rPr>
            </w:pPr>
            <w:r w:rsidRPr="003529B9">
              <w:rPr>
                <w:rFonts w:ascii="Arial" w:hAnsi="Arial" w:cs="Arial"/>
                <w:b/>
                <w:bCs/>
                <w:sz w:val="22"/>
                <w:szCs w:val="22"/>
              </w:rPr>
              <w:t>Limit</w:t>
            </w:r>
          </w:p>
        </w:tc>
      </w:tr>
      <w:tr w:rsidR="007D4C52" w:rsidRPr="008D7D6A" w:rsidTr="00116C42">
        <w:trPr>
          <w:cantSplit/>
          <w:trHeight w:val="331"/>
        </w:trPr>
        <w:tc>
          <w:tcPr>
            <w:tcW w:w="5339" w:type="dxa"/>
            <w:gridSpan w:val="2"/>
          </w:tcPr>
          <w:p w:rsidR="007D4C52" w:rsidRPr="003529B9" w:rsidRDefault="007D4C52" w:rsidP="005804A2">
            <w:pPr>
              <w:pStyle w:val="BodyText"/>
              <w:spacing w:after="0"/>
              <w:rPr>
                <w:rFonts w:ascii="Arial" w:hAnsi="Arial" w:cs="Arial"/>
                <w:sz w:val="22"/>
                <w:szCs w:val="22"/>
              </w:rPr>
            </w:pPr>
            <w:r w:rsidRPr="003529B9">
              <w:rPr>
                <w:rFonts w:ascii="Arial" w:hAnsi="Arial" w:cs="Arial"/>
                <w:sz w:val="22"/>
                <w:szCs w:val="22"/>
              </w:rPr>
              <w:t>Under 12 months</w:t>
            </w:r>
          </w:p>
        </w:tc>
        <w:tc>
          <w:tcPr>
            <w:tcW w:w="1842" w:type="dxa"/>
          </w:tcPr>
          <w:p w:rsidR="007D4C52" w:rsidRPr="003529B9" w:rsidRDefault="007D4C52" w:rsidP="005804A2">
            <w:pPr>
              <w:pStyle w:val="BodyText"/>
              <w:spacing w:after="0"/>
              <w:jc w:val="center"/>
              <w:rPr>
                <w:rFonts w:ascii="Arial" w:hAnsi="Arial" w:cs="Arial"/>
                <w:sz w:val="22"/>
                <w:szCs w:val="22"/>
              </w:rPr>
            </w:pPr>
            <w:r w:rsidRPr="003529B9">
              <w:rPr>
                <w:rFonts w:ascii="Arial" w:hAnsi="Arial" w:cs="Arial"/>
                <w:sz w:val="22"/>
                <w:szCs w:val="22"/>
              </w:rPr>
              <w:t>0%</w:t>
            </w:r>
          </w:p>
        </w:tc>
        <w:tc>
          <w:tcPr>
            <w:tcW w:w="1560" w:type="dxa"/>
          </w:tcPr>
          <w:p w:rsidR="007D4C52" w:rsidRPr="003529B9" w:rsidRDefault="00C16197" w:rsidP="003529B9">
            <w:pPr>
              <w:pStyle w:val="BodyText"/>
              <w:spacing w:after="0"/>
              <w:jc w:val="center"/>
              <w:rPr>
                <w:rFonts w:ascii="Arial" w:hAnsi="Arial" w:cs="Arial"/>
                <w:sz w:val="22"/>
                <w:szCs w:val="22"/>
              </w:rPr>
            </w:pPr>
            <w:r>
              <w:rPr>
                <w:rFonts w:ascii="Arial" w:hAnsi="Arial" w:cs="Arial"/>
                <w:sz w:val="22"/>
                <w:szCs w:val="22"/>
              </w:rPr>
              <w:t>4</w:t>
            </w:r>
            <w:r w:rsidR="003529B9" w:rsidRPr="003529B9">
              <w:rPr>
                <w:rFonts w:ascii="Arial" w:hAnsi="Arial" w:cs="Arial"/>
                <w:sz w:val="22"/>
                <w:szCs w:val="22"/>
              </w:rPr>
              <w:t>0</w:t>
            </w:r>
            <w:r w:rsidR="007D4C52" w:rsidRPr="003529B9">
              <w:rPr>
                <w:rFonts w:ascii="Arial" w:hAnsi="Arial" w:cs="Arial"/>
                <w:sz w:val="22"/>
                <w:szCs w:val="22"/>
              </w:rPr>
              <w:t>%</w:t>
            </w:r>
          </w:p>
        </w:tc>
      </w:tr>
      <w:tr w:rsidR="007D4C52" w:rsidRPr="008D7D6A" w:rsidTr="00116C42">
        <w:trPr>
          <w:cantSplit/>
        </w:trPr>
        <w:tc>
          <w:tcPr>
            <w:tcW w:w="5339" w:type="dxa"/>
            <w:gridSpan w:val="2"/>
          </w:tcPr>
          <w:p w:rsidR="007D4C52" w:rsidRPr="003529B9" w:rsidRDefault="007D4C52" w:rsidP="005804A2">
            <w:pPr>
              <w:pStyle w:val="BodyText"/>
              <w:spacing w:after="0"/>
              <w:rPr>
                <w:rFonts w:ascii="Arial" w:hAnsi="Arial" w:cs="Arial"/>
                <w:sz w:val="22"/>
                <w:szCs w:val="22"/>
              </w:rPr>
            </w:pPr>
            <w:r w:rsidRPr="003529B9">
              <w:rPr>
                <w:rFonts w:ascii="Arial" w:hAnsi="Arial" w:cs="Arial"/>
                <w:sz w:val="22"/>
                <w:szCs w:val="22"/>
              </w:rPr>
              <w:t>12 months to 2 years</w:t>
            </w:r>
          </w:p>
        </w:tc>
        <w:tc>
          <w:tcPr>
            <w:tcW w:w="1842" w:type="dxa"/>
          </w:tcPr>
          <w:p w:rsidR="007D4C52" w:rsidRPr="003529B9" w:rsidRDefault="007D4C52" w:rsidP="005804A2">
            <w:pPr>
              <w:pStyle w:val="BodyText"/>
              <w:spacing w:after="0"/>
              <w:jc w:val="center"/>
              <w:rPr>
                <w:rFonts w:ascii="Arial" w:hAnsi="Arial" w:cs="Arial"/>
                <w:sz w:val="22"/>
                <w:szCs w:val="22"/>
              </w:rPr>
            </w:pPr>
            <w:r w:rsidRPr="003529B9">
              <w:rPr>
                <w:rFonts w:ascii="Arial" w:hAnsi="Arial" w:cs="Arial"/>
                <w:sz w:val="22"/>
                <w:szCs w:val="22"/>
              </w:rPr>
              <w:t>0%</w:t>
            </w:r>
          </w:p>
        </w:tc>
        <w:tc>
          <w:tcPr>
            <w:tcW w:w="1560" w:type="dxa"/>
          </w:tcPr>
          <w:p w:rsidR="007D4C52" w:rsidRPr="003529B9" w:rsidRDefault="00C16197" w:rsidP="00C16197">
            <w:pPr>
              <w:pStyle w:val="BodyText"/>
              <w:spacing w:after="0"/>
              <w:jc w:val="center"/>
              <w:rPr>
                <w:rFonts w:ascii="Arial" w:hAnsi="Arial" w:cs="Arial"/>
                <w:sz w:val="22"/>
                <w:szCs w:val="22"/>
              </w:rPr>
            </w:pPr>
            <w:r>
              <w:rPr>
                <w:rFonts w:ascii="Arial" w:hAnsi="Arial" w:cs="Arial"/>
                <w:sz w:val="22"/>
                <w:szCs w:val="22"/>
              </w:rPr>
              <w:t>5</w:t>
            </w:r>
            <w:r w:rsidR="007D4C52" w:rsidRPr="003529B9">
              <w:rPr>
                <w:rFonts w:ascii="Arial" w:hAnsi="Arial" w:cs="Arial"/>
                <w:sz w:val="22"/>
                <w:szCs w:val="22"/>
              </w:rPr>
              <w:t>0%</w:t>
            </w:r>
          </w:p>
        </w:tc>
      </w:tr>
      <w:tr w:rsidR="007D4C52" w:rsidRPr="008D7D6A" w:rsidTr="00116C42">
        <w:trPr>
          <w:cantSplit/>
        </w:trPr>
        <w:tc>
          <w:tcPr>
            <w:tcW w:w="5339" w:type="dxa"/>
            <w:gridSpan w:val="2"/>
          </w:tcPr>
          <w:p w:rsidR="007D4C52" w:rsidRPr="003529B9" w:rsidRDefault="007D4C52" w:rsidP="005804A2">
            <w:pPr>
              <w:pStyle w:val="BodyText"/>
              <w:spacing w:after="0"/>
              <w:rPr>
                <w:rFonts w:ascii="Arial" w:hAnsi="Arial" w:cs="Arial"/>
                <w:sz w:val="22"/>
                <w:szCs w:val="22"/>
              </w:rPr>
            </w:pPr>
            <w:r w:rsidRPr="003529B9">
              <w:rPr>
                <w:rFonts w:ascii="Arial" w:hAnsi="Arial" w:cs="Arial"/>
                <w:sz w:val="22"/>
                <w:szCs w:val="22"/>
              </w:rPr>
              <w:t>2 years to 5 years</w:t>
            </w:r>
          </w:p>
        </w:tc>
        <w:tc>
          <w:tcPr>
            <w:tcW w:w="1842" w:type="dxa"/>
          </w:tcPr>
          <w:p w:rsidR="007D4C52" w:rsidRPr="003529B9" w:rsidRDefault="007D4C52" w:rsidP="005804A2">
            <w:pPr>
              <w:pStyle w:val="BodyText"/>
              <w:spacing w:after="0"/>
              <w:jc w:val="center"/>
              <w:rPr>
                <w:rFonts w:ascii="Arial" w:hAnsi="Arial" w:cs="Arial"/>
                <w:sz w:val="22"/>
                <w:szCs w:val="22"/>
              </w:rPr>
            </w:pPr>
            <w:r w:rsidRPr="003529B9">
              <w:rPr>
                <w:rFonts w:ascii="Arial" w:hAnsi="Arial" w:cs="Arial"/>
                <w:sz w:val="22"/>
                <w:szCs w:val="22"/>
              </w:rPr>
              <w:t>0%</w:t>
            </w:r>
          </w:p>
        </w:tc>
        <w:tc>
          <w:tcPr>
            <w:tcW w:w="1560" w:type="dxa"/>
          </w:tcPr>
          <w:p w:rsidR="007D4C52" w:rsidRPr="003529B9" w:rsidRDefault="007D4C52" w:rsidP="005804A2">
            <w:pPr>
              <w:pStyle w:val="BodyText"/>
              <w:spacing w:after="0"/>
              <w:jc w:val="center"/>
              <w:rPr>
                <w:rFonts w:ascii="Arial" w:hAnsi="Arial" w:cs="Arial"/>
                <w:sz w:val="22"/>
                <w:szCs w:val="22"/>
              </w:rPr>
            </w:pPr>
            <w:r w:rsidRPr="003529B9">
              <w:rPr>
                <w:rFonts w:ascii="Arial" w:hAnsi="Arial" w:cs="Arial"/>
                <w:sz w:val="22"/>
                <w:szCs w:val="22"/>
              </w:rPr>
              <w:t>60%</w:t>
            </w:r>
          </w:p>
        </w:tc>
      </w:tr>
      <w:tr w:rsidR="007D4C52" w:rsidRPr="008D7D6A" w:rsidTr="00116C42">
        <w:trPr>
          <w:cantSplit/>
        </w:trPr>
        <w:tc>
          <w:tcPr>
            <w:tcW w:w="5339" w:type="dxa"/>
            <w:gridSpan w:val="2"/>
          </w:tcPr>
          <w:p w:rsidR="007D4C52" w:rsidRPr="003529B9" w:rsidRDefault="007D4C52" w:rsidP="005804A2">
            <w:pPr>
              <w:pStyle w:val="BodyText"/>
              <w:spacing w:after="0"/>
              <w:rPr>
                <w:rFonts w:ascii="Arial" w:hAnsi="Arial" w:cs="Arial"/>
                <w:sz w:val="22"/>
                <w:szCs w:val="22"/>
              </w:rPr>
            </w:pPr>
            <w:r w:rsidRPr="003529B9">
              <w:rPr>
                <w:rFonts w:ascii="Arial" w:hAnsi="Arial" w:cs="Arial"/>
                <w:sz w:val="22"/>
                <w:szCs w:val="22"/>
              </w:rPr>
              <w:t>5 years to 10 years</w:t>
            </w:r>
          </w:p>
        </w:tc>
        <w:tc>
          <w:tcPr>
            <w:tcW w:w="1842" w:type="dxa"/>
          </w:tcPr>
          <w:p w:rsidR="007D4C52" w:rsidRPr="003529B9" w:rsidRDefault="007D4C52" w:rsidP="005804A2">
            <w:pPr>
              <w:pStyle w:val="BodyText"/>
              <w:spacing w:after="0"/>
              <w:jc w:val="center"/>
              <w:rPr>
                <w:rFonts w:ascii="Arial" w:hAnsi="Arial" w:cs="Arial"/>
                <w:sz w:val="22"/>
                <w:szCs w:val="22"/>
              </w:rPr>
            </w:pPr>
            <w:r w:rsidRPr="003529B9">
              <w:rPr>
                <w:rFonts w:ascii="Arial" w:hAnsi="Arial" w:cs="Arial"/>
                <w:sz w:val="22"/>
                <w:szCs w:val="22"/>
              </w:rPr>
              <w:t>0%</w:t>
            </w:r>
          </w:p>
        </w:tc>
        <w:tc>
          <w:tcPr>
            <w:tcW w:w="1560" w:type="dxa"/>
          </w:tcPr>
          <w:p w:rsidR="007D4C52" w:rsidRPr="003529B9" w:rsidRDefault="007D4C52" w:rsidP="005804A2">
            <w:pPr>
              <w:pStyle w:val="BodyText"/>
              <w:spacing w:after="0"/>
              <w:jc w:val="center"/>
              <w:rPr>
                <w:rFonts w:ascii="Arial" w:hAnsi="Arial" w:cs="Arial"/>
                <w:sz w:val="22"/>
                <w:szCs w:val="22"/>
              </w:rPr>
            </w:pPr>
            <w:r w:rsidRPr="003529B9">
              <w:rPr>
                <w:rFonts w:ascii="Arial" w:hAnsi="Arial" w:cs="Arial"/>
                <w:sz w:val="22"/>
                <w:szCs w:val="22"/>
              </w:rPr>
              <w:t>80%</w:t>
            </w:r>
          </w:p>
        </w:tc>
      </w:tr>
      <w:tr w:rsidR="007D4C52" w:rsidTr="00116C42">
        <w:trPr>
          <w:cantSplit/>
        </w:trPr>
        <w:tc>
          <w:tcPr>
            <w:tcW w:w="5339" w:type="dxa"/>
            <w:gridSpan w:val="2"/>
          </w:tcPr>
          <w:p w:rsidR="007D4C52" w:rsidRPr="003529B9" w:rsidRDefault="007D4C52" w:rsidP="005804A2">
            <w:pPr>
              <w:pStyle w:val="BodyText"/>
              <w:spacing w:after="0"/>
              <w:rPr>
                <w:rFonts w:ascii="Arial" w:hAnsi="Arial" w:cs="Arial"/>
                <w:sz w:val="22"/>
                <w:szCs w:val="22"/>
              </w:rPr>
            </w:pPr>
            <w:r w:rsidRPr="003529B9">
              <w:rPr>
                <w:rFonts w:ascii="Arial" w:hAnsi="Arial" w:cs="Arial"/>
                <w:sz w:val="22"/>
                <w:szCs w:val="22"/>
              </w:rPr>
              <w:t>10 years and above</w:t>
            </w:r>
          </w:p>
        </w:tc>
        <w:tc>
          <w:tcPr>
            <w:tcW w:w="1842" w:type="dxa"/>
          </w:tcPr>
          <w:p w:rsidR="007D4C52" w:rsidRPr="003529B9" w:rsidRDefault="007D4C52" w:rsidP="005804A2">
            <w:pPr>
              <w:pStyle w:val="BodyText"/>
              <w:spacing w:after="0"/>
              <w:jc w:val="center"/>
              <w:rPr>
                <w:rFonts w:ascii="Arial" w:hAnsi="Arial" w:cs="Arial"/>
                <w:sz w:val="22"/>
                <w:szCs w:val="22"/>
              </w:rPr>
            </w:pPr>
            <w:r w:rsidRPr="003529B9">
              <w:rPr>
                <w:rFonts w:ascii="Arial" w:hAnsi="Arial" w:cs="Arial"/>
                <w:sz w:val="22"/>
                <w:szCs w:val="22"/>
              </w:rPr>
              <w:t>0%</w:t>
            </w:r>
          </w:p>
        </w:tc>
        <w:tc>
          <w:tcPr>
            <w:tcW w:w="1560" w:type="dxa"/>
          </w:tcPr>
          <w:p w:rsidR="007D4C52" w:rsidRPr="003529B9" w:rsidRDefault="007D4C52" w:rsidP="005804A2">
            <w:pPr>
              <w:pStyle w:val="BodyText"/>
              <w:spacing w:after="0"/>
              <w:jc w:val="center"/>
              <w:rPr>
                <w:rFonts w:ascii="Arial" w:hAnsi="Arial" w:cs="Arial"/>
                <w:sz w:val="22"/>
                <w:szCs w:val="22"/>
              </w:rPr>
            </w:pPr>
            <w:r w:rsidRPr="003529B9">
              <w:rPr>
                <w:rFonts w:ascii="Arial" w:hAnsi="Arial" w:cs="Arial"/>
                <w:sz w:val="22"/>
                <w:szCs w:val="22"/>
              </w:rPr>
              <w:t>100%</w:t>
            </w:r>
          </w:p>
        </w:tc>
      </w:tr>
    </w:tbl>
    <w:p w:rsidR="00D803F1" w:rsidRDefault="00D803F1" w:rsidP="005804A2">
      <w:pPr>
        <w:overflowPunct/>
        <w:textAlignment w:val="auto"/>
        <w:rPr>
          <w:rFonts w:ascii="Arial" w:hAnsi="Arial" w:cs="Arial"/>
          <w:b/>
          <w:bCs/>
        </w:rPr>
      </w:pPr>
    </w:p>
    <w:p w:rsidR="007D4C52" w:rsidRDefault="00D803F1" w:rsidP="005804A2">
      <w:pPr>
        <w:overflowPunct/>
        <w:textAlignment w:val="auto"/>
        <w:rPr>
          <w:rFonts w:ascii="Arial" w:hAnsi="Arial" w:cs="Arial"/>
          <w:b/>
          <w:bCs/>
        </w:rPr>
      </w:pPr>
      <w:r w:rsidRPr="00D803F1">
        <w:rPr>
          <w:rFonts w:ascii="Arial" w:hAnsi="Arial" w:cs="Arial"/>
          <w:b/>
          <w:bCs/>
        </w:rPr>
        <w:t>Training</w:t>
      </w:r>
    </w:p>
    <w:p w:rsidR="00D803F1" w:rsidRDefault="00D803F1" w:rsidP="005804A2">
      <w:pPr>
        <w:overflowPunct/>
        <w:textAlignment w:val="auto"/>
        <w:rPr>
          <w:rFonts w:ascii="Arial" w:hAnsi="Arial" w:cs="Arial"/>
          <w:b/>
          <w:bCs/>
        </w:rPr>
      </w:pPr>
    </w:p>
    <w:p w:rsidR="00D803F1" w:rsidRDefault="00D803F1" w:rsidP="005804A2">
      <w:pPr>
        <w:numPr>
          <w:ilvl w:val="0"/>
          <w:numId w:val="1"/>
        </w:numPr>
        <w:tabs>
          <w:tab w:val="num" w:pos="0"/>
        </w:tabs>
        <w:rPr>
          <w:rFonts w:ascii="Arial" w:hAnsi="Arial" w:cs="Arial"/>
          <w:bCs/>
        </w:rPr>
      </w:pPr>
      <w:r w:rsidRPr="00D803F1">
        <w:rPr>
          <w:rFonts w:ascii="Arial" w:hAnsi="Arial" w:cs="Arial"/>
          <w:bCs/>
        </w:rPr>
        <w:t>The CIPFA code requires the resp</w:t>
      </w:r>
      <w:r w:rsidR="005E2EDB">
        <w:rPr>
          <w:rFonts w:ascii="Arial" w:hAnsi="Arial" w:cs="Arial"/>
          <w:bCs/>
        </w:rPr>
        <w:t>onsible officer to ensure that M</w:t>
      </w:r>
      <w:r w:rsidRPr="00D803F1">
        <w:rPr>
          <w:rFonts w:ascii="Arial" w:hAnsi="Arial" w:cs="Arial"/>
          <w:bCs/>
        </w:rPr>
        <w:t>embers with re</w:t>
      </w:r>
      <w:r>
        <w:rPr>
          <w:rFonts w:ascii="Arial" w:hAnsi="Arial" w:cs="Arial"/>
          <w:bCs/>
        </w:rPr>
        <w:t>sponsibility for treasury management receive adequate training in treasury manageme</w:t>
      </w:r>
      <w:r w:rsidR="005E2EDB">
        <w:rPr>
          <w:rFonts w:ascii="Arial" w:hAnsi="Arial" w:cs="Arial"/>
          <w:bCs/>
        </w:rPr>
        <w:t>nt. This especially applies to M</w:t>
      </w:r>
      <w:r>
        <w:rPr>
          <w:rFonts w:ascii="Arial" w:hAnsi="Arial" w:cs="Arial"/>
          <w:bCs/>
        </w:rPr>
        <w:t xml:space="preserve">embers responsible for scrutiny. </w:t>
      </w:r>
      <w:r w:rsidRPr="002679A2">
        <w:rPr>
          <w:rFonts w:ascii="Arial" w:hAnsi="Arial" w:cs="Arial"/>
          <w:bCs/>
        </w:rPr>
        <w:t>Training</w:t>
      </w:r>
      <w:r w:rsidR="005E2EDB" w:rsidRPr="002679A2">
        <w:rPr>
          <w:rFonts w:ascii="Arial" w:hAnsi="Arial" w:cs="Arial"/>
          <w:bCs/>
        </w:rPr>
        <w:t xml:space="preserve"> was undertaken by a number of M</w:t>
      </w:r>
      <w:r w:rsidRPr="002679A2">
        <w:rPr>
          <w:rFonts w:ascii="Arial" w:hAnsi="Arial" w:cs="Arial"/>
          <w:bCs/>
        </w:rPr>
        <w:t>embers</w:t>
      </w:r>
      <w:r w:rsidR="002346C0" w:rsidRPr="002679A2">
        <w:rPr>
          <w:rFonts w:ascii="Arial" w:hAnsi="Arial" w:cs="Arial"/>
          <w:bCs/>
        </w:rPr>
        <w:t xml:space="preserve"> </w:t>
      </w:r>
      <w:r w:rsidR="002679A2" w:rsidRPr="002679A2">
        <w:rPr>
          <w:rFonts w:ascii="Arial" w:hAnsi="Arial" w:cs="Arial"/>
          <w:bCs/>
        </w:rPr>
        <w:t>during 2 sessions held in March</w:t>
      </w:r>
      <w:r w:rsidR="002346C0" w:rsidRPr="002679A2">
        <w:rPr>
          <w:rFonts w:ascii="Arial" w:hAnsi="Arial" w:cs="Arial"/>
          <w:bCs/>
        </w:rPr>
        <w:t xml:space="preserve"> 201</w:t>
      </w:r>
      <w:r w:rsidR="002679A2" w:rsidRPr="002679A2">
        <w:rPr>
          <w:rFonts w:ascii="Arial" w:hAnsi="Arial" w:cs="Arial"/>
          <w:bCs/>
        </w:rPr>
        <w:t>8</w:t>
      </w:r>
      <w:r w:rsidR="002346C0">
        <w:rPr>
          <w:rFonts w:ascii="Arial" w:hAnsi="Arial" w:cs="Arial"/>
          <w:bCs/>
        </w:rPr>
        <w:t xml:space="preserve"> and further training will be arranged as required.</w:t>
      </w:r>
      <w:r w:rsidR="008D7D6A">
        <w:rPr>
          <w:rFonts w:ascii="Arial" w:hAnsi="Arial" w:cs="Arial"/>
          <w:bCs/>
        </w:rPr>
        <w:t xml:space="preserve"> The training needs of treasury management officers are periodically reviewed.</w:t>
      </w:r>
    </w:p>
    <w:p w:rsidR="0047796B" w:rsidRDefault="0047796B" w:rsidP="005804A2">
      <w:pPr>
        <w:ind w:left="1305"/>
        <w:rPr>
          <w:rFonts w:ascii="Arial" w:hAnsi="Arial" w:cs="Arial"/>
          <w:bCs/>
        </w:rPr>
      </w:pPr>
    </w:p>
    <w:p w:rsidR="002346C0" w:rsidRDefault="002346C0" w:rsidP="005804A2">
      <w:pPr>
        <w:rPr>
          <w:rFonts w:ascii="Arial" w:hAnsi="Arial" w:cs="Arial"/>
          <w:b/>
          <w:bCs/>
        </w:rPr>
      </w:pPr>
      <w:r w:rsidRPr="0047796B">
        <w:rPr>
          <w:rFonts w:ascii="Arial" w:hAnsi="Arial" w:cs="Arial"/>
          <w:b/>
          <w:bCs/>
        </w:rPr>
        <w:t>Treasury Management Consultants</w:t>
      </w:r>
    </w:p>
    <w:p w:rsidR="0047796B" w:rsidRDefault="0047796B" w:rsidP="005804A2">
      <w:pPr>
        <w:rPr>
          <w:rFonts w:ascii="Arial" w:hAnsi="Arial" w:cs="Arial"/>
          <w:b/>
          <w:bCs/>
        </w:rPr>
      </w:pPr>
    </w:p>
    <w:p w:rsidR="00E03F05" w:rsidRDefault="000C1EE0" w:rsidP="005804A2">
      <w:pPr>
        <w:numPr>
          <w:ilvl w:val="0"/>
          <w:numId w:val="1"/>
        </w:numPr>
        <w:tabs>
          <w:tab w:val="num" w:pos="0"/>
        </w:tabs>
        <w:rPr>
          <w:rFonts w:ascii="Arial" w:hAnsi="Arial" w:cs="Arial"/>
          <w:bCs/>
        </w:rPr>
      </w:pPr>
      <w:r>
        <w:rPr>
          <w:rFonts w:ascii="Arial" w:hAnsi="Arial" w:cs="Arial"/>
          <w:bCs/>
        </w:rPr>
        <w:t>The Council uses Link</w:t>
      </w:r>
      <w:r w:rsidR="0047796B" w:rsidRPr="0047796B">
        <w:rPr>
          <w:rFonts w:ascii="Arial" w:hAnsi="Arial" w:cs="Arial"/>
          <w:bCs/>
        </w:rPr>
        <w:t xml:space="preserve"> Asset Services</w:t>
      </w:r>
      <w:r w:rsidR="005E2EDB">
        <w:rPr>
          <w:rFonts w:ascii="Arial" w:hAnsi="Arial" w:cs="Arial"/>
          <w:bCs/>
        </w:rPr>
        <w:t>,</w:t>
      </w:r>
      <w:r w:rsidR="005804A2">
        <w:rPr>
          <w:rFonts w:ascii="Arial" w:hAnsi="Arial" w:cs="Arial"/>
          <w:bCs/>
        </w:rPr>
        <w:t xml:space="preserve"> </w:t>
      </w:r>
      <w:r w:rsidR="00E03F05">
        <w:rPr>
          <w:rFonts w:ascii="Arial" w:hAnsi="Arial" w:cs="Arial"/>
          <w:bCs/>
        </w:rPr>
        <w:t xml:space="preserve">Treasury solutions </w:t>
      </w:r>
      <w:r w:rsidR="0047796B">
        <w:rPr>
          <w:rFonts w:ascii="Arial" w:hAnsi="Arial" w:cs="Arial"/>
          <w:bCs/>
        </w:rPr>
        <w:t xml:space="preserve">as its external treasury management advisors. The Council recognises that responsibility </w:t>
      </w:r>
      <w:r w:rsidR="00687981">
        <w:rPr>
          <w:rFonts w:ascii="Arial" w:hAnsi="Arial" w:cs="Arial"/>
          <w:bCs/>
        </w:rPr>
        <w:t xml:space="preserve">for treasury decisions remains with the organisation at all times and will ensure that undue reliance is not placed upon our external service providers.  </w:t>
      </w:r>
      <w:r w:rsidR="008D7D6A">
        <w:rPr>
          <w:rFonts w:ascii="Arial" w:hAnsi="Arial" w:cs="Arial"/>
          <w:bCs/>
        </w:rPr>
        <w:t>All decisions will be undertaken with regards to all available information, including, but not solely, our treasury advisors.</w:t>
      </w:r>
    </w:p>
    <w:p w:rsidR="00E03F05" w:rsidRDefault="00E03F05" w:rsidP="00E03F05">
      <w:pPr>
        <w:ind w:left="567"/>
        <w:rPr>
          <w:rFonts w:ascii="Arial" w:hAnsi="Arial" w:cs="Arial"/>
          <w:bCs/>
        </w:rPr>
      </w:pPr>
    </w:p>
    <w:p w:rsidR="00687981" w:rsidRDefault="00687981" w:rsidP="005804A2">
      <w:pPr>
        <w:numPr>
          <w:ilvl w:val="0"/>
          <w:numId w:val="1"/>
        </w:numPr>
        <w:tabs>
          <w:tab w:val="num" w:pos="0"/>
        </w:tabs>
        <w:rPr>
          <w:rFonts w:ascii="Arial" w:hAnsi="Arial" w:cs="Arial"/>
          <w:bCs/>
        </w:rPr>
      </w:pPr>
      <w:r>
        <w:rPr>
          <w:rFonts w:ascii="Arial" w:hAnsi="Arial" w:cs="Arial"/>
          <w:bCs/>
        </w:rPr>
        <w:t xml:space="preserve">It also recognises that there is value in employing external providers of treasury management services in order to acquire access to specialist skills and resources.  The officers of the Council will ensure that the terms of their appointment and the methods by which their value will be assessed are properly agreed and documented and subject to regular review. </w:t>
      </w:r>
    </w:p>
    <w:p w:rsidR="00FC02FC" w:rsidRPr="00B23CAC" w:rsidRDefault="00FC02FC" w:rsidP="00FC02FC">
      <w:pPr>
        <w:rPr>
          <w:rFonts w:ascii="Arial" w:hAnsi="Arial" w:cs="Arial"/>
          <w:bCs/>
        </w:rPr>
      </w:pPr>
    </w:p>
    <w:p w:rsidR="00330F7B" w:rsidRDefault="00330F7B" w:rsidP="005804A2">
      <w:pPr>
        <w:jc w:val="both"/>
        <w:rPr>
          <w:rFonts w:ascii="Arial" w:hAnsi="Arial" w:cs="Arial"/>
          <w:b/>
          <w:noProof/>
          <w:szCs w:val="36"/>
        </w:rPr>
      </w:pPr>
      <w:r w:rsidRPr="00330F7B">
        <w:rPr>
          <w:rFonts w:ascii="Arial" w:hAnsi="Arial" w:cs="Arial"/>
          <w:b/>
          <w:noProof/>
          <w:szCs w:val="36"/>
        </w:rPr>
        <w:t>The Capital Prudential Indicators 201</w:t>
      </w:r>
      <w:r w:rsidR="007A1170">
        <w:rPr>
          <w:rFonts w:ascii="Arial" w:hAnsi="Arial" w:cs="Arial"/>
          <w:b/>
          <w:noProof/>
          <w:szCs w:val="36"/>
        </w:rPr>
        <w:t>9</w:t>
      </w:r>
      <w:r w:rsidR="000C1EE0">
        <w:rPr>
          <w:rFonts w:ascii="Arial" w:hAnsi="Arial" w:cs="Arial"/>
          <w:b/>
          <w:noProof/>
          <w:szCs w:val="36"/>
        </w:rPr>
        <w:t>/</w:t>
      </w:r>
      <w:r w:rsidR="007A1170">
        <w:rPr>
          <w:rFonts w:ascii="Arial" w:hAnsi="Arial" w:cs="Arial"/>
          <w:b/>
          <w:noProof/>
          <w:szCs w:val="36"/>
        </w:rPr>
        <w:t>20</w:t>
      </w:r>
      <w:r w:rsidR="000C1EE0">
        <w:rPr>
          <w:rFonts w:ascii="Arial" w:hAnsi="Arial" w:cs="Arial"/>
          <w:b/>
          <w:noProof/>
          <w:szCs w:val="36"/>
        </w:rPr>
        <w:t>– 202</w:t>
      </w:r>
      <w:r w:rsidR="007A1170">
        <w:rPr>
          <w:rFonts w:ascii="Arial" w:hAnsi="Arial" w:cs="Arial"/>
          <w:b/>
          <w:noProof/>
          <w:szCs w:val="36"/>
        </w:rPr>
        <w:t>1</w:t>
      </w:r>
      <w:r w:rsidR="000C1EE0">
        <w:rPr>
          <w:rFonts w:ascii="Arial" w:hAnsi="Arial" w:cs="Arial"/>
          <w:b/>
          <w:noProof/>
          <w:szCs w:val="36"/>
        </w:rPr>
        <w:t>/2</w:t>
      </w:r>
      <w:r w:rsidR="007A1170">
        <w:rPr>
          <w:rFonts w:ascii="Arial" w:hAnsi="Arial" w:cs="Arial"/>
          <w:b/>
          <w:noProof/>
          <w:szCs w:val="36"/>
        </w:rPr>
        <w:t>2</w:t>
      </w:r>
    </w:p>
    <w:p w:rsidR="00956E51" w:rsidRPr="00330F7B" w:rsidRDefault="00956E51" w:rsidP="005804A2">
      <w:pPr>
        <w:jc w:val="both"/>
        <w:rPr>
          <w:rFonts w:ascii="Arial" w:hAnsi="Arial" w:cs="Arial"/>
          <w:b/>
          <w:noProof/>
          <w:szCs w:val="36"/>
        </w:rPr>
      </w:pPr>
    </w:p>
    <w:p w:rsidR="00330F7B" w:rsidRPr="00330F7B" w:rsidRDefault="00330F7B" w:rsidP="005804A2">
      <w:pPr>
        <w:numPr>
          <w:ilvl w:val="0"/>
          <w:numId w:val="1"/>
        </w:numPr>
        <w:tabs>
          <w:tab w:val="num" w:pos="0"/>
        </w:tabs>
        <w:rPr>
          <w:rFonts w:ascii="Arial" w:hAnsi="Arial" w:cs="Arial"/>
          <w:szCs w:val="22"/>
        </w:rPr>
      </w:pPr>
      <w:r w:rsidRPr="00330F7B">
        <w:rPr>
          <w:rFonts w:ascii="Arial" w:hAnsi="Arial" w:cs="Arial"/>
          <w:szCs w:val="22"/>
        </w:rPr>
        <w:t xml:space="preserve">The Council’s capital expenditure plans are the key driver of treasury management activity.  The output of the capital expenditure plans are reflected in </w:t>
      </w:r>
      <w:r w:rsidR="007A1170">
        <w:rPr>
          <w:rFonts w:ascii="Arial" w:hAnsi="Arial" w:cs="Arial"/>
          <w:szCs w:val="22"/>
        </w:rPr>
        <w:t xml:space="preserve">the </w:t>
      </w:r>
      <w:r w:rsidRPr="00330F7B">
        <w:rPr>
          <w:rFonts w:ascii="Arial" w:hAnsi="Arial" w:cs="Arial"/>
          <w:szCs w:val="22"/>
        </w:rPr>
        <w:t>prudential indicators, which are designed to assist members</w:t>
      </w:r>
      <w:r w:rsidR="007A1170">
        <w:rPr>
          <w:rFonts w:ascii="Arial" w:hAnsi="Arial" w:cs="Arial"/>
          <w:szCs w:val="22"/>
        </w:rPr>
        <w:t>’</w:t>
      </w:r>
      <w:r w:rsidRPr="00330F7B">
        <w:rPr>
          <w:rFonts w:ascii="Arial" w:hAnsi="Arial" w:cs="Arial"/>
          <w:szCs w:val="22"/>
        </w:rPr>
        <w:t xml:space="preserve"> overview and </w:t>
      </w:r>
      <w:r w:rsidR="007A1170">
        <w:rPr>
          <w:rFonts w:ascii="Arial" w:hAnsi="Arial" w:cs="Arial"/>
          <w:szCs w:val="22"/>
        </w:rPr>
        <w:t>confirm</w:t>
      </w:r>
      <w:r w:rsidRPr="00330F7B">
        <w:rPr>
          <w:rFonts w:ascii="Arial" w:hAnsi="Arial" w:cs="Arial"/>
          <w:szCs w:val="22"/>
        </w:rPr>
        <w:t xml:space="preserve"> capital expenditure plans.</w:t>
      </w:r>
    </w:p>
    <w:p w:rsidR="00330F7B" w:rsidRPr="00330F7B" w:rsidRDefault="00330F7B" w:rsidP="005804A2">
      <w:pPr>
        <w:rPr>
          <w:rFonts w:ascii="Arial" w:hAnsi="Arial" w:cs="Arial"/>
          <w:b/>
          <w:szCs w:val="22"/>
        </w:rPr>
      </w:pPr>
      <w:r w:rsidRPr="00330F7B">
        <w:rPr>
          <w:rFonts w:ascii="Arial" w:hAnsi="Arial" w:cs="Arial"/>
          <w:b/>
          <w:szCs w:val="22"/>
        </w:rPr>
        <w:lastRenderedPageBreak/>
        <w:t>Capital Expenditure</w:t>
      </w:r>
    </w:p>
    <w:p w:rsidR="00330F7B" w:rsidRPr="00330F7B" w:rsidRDefault="00330F7B" w:rsidP="005804A2">
      <w:pPr>
        <w:rPr>
          <w:rFonts w:ascii="Arial" w:hAnsi="Arial" w:cs="Arial"/>
          <w:szCs w:val="22"/>
        </w:rPr>
      </w:pPr>
    </w:p>
    <w:p w:rsidR="00494181" w:rsidRDefault="00330F7B" w:rsidP="005804A2">
      <w:pPr>
        <w:numPr>
          <w:ilvl w:val="0"/>
          <w:numId w:val="1"/>
        </w:numPr>
        <w:tabs>
          <w:tab w:val="num" w:pos="0"/>
        </w:tabs>
        <w:rPr>
          <w:rFonts w:ascii="Arial" w:hAnsi="Arial" w:cs="Arial"/>
          <w:szCs w:val="22"/>
        </w:rPr>
      </w:pPr>
      <w:r w:rsidRPr="00F2460C">
        <w:rPr>
          <w:rFonts w:ascii="Arial" w:hAnsi="Arial" w:cs="Arial"/>
          <w:szCs w:val="22"/>
        </w:rPr>
        <w:t>This Prudential Indicator is a summary of the Council’s capital expenditure plans, both those agreed previously, and those forming part of this budget cycle.  Members are asked to approve the capital expenditure forecasts:</w:t>
      </w:r>
      <w:r w:rsidR="006A4881" w:rsidRPr="00F2460C">
        <w:rPr>
          <w:rFonts w:ascii="Arial" w:hAnsi="Arial" w:cs="Arial"/>
          <w:szCs w:val="22"/>
        </w:rPr>
        <w:t xml:space="preserve"> </w:t>
      </w:r>
    </w:p>
    <w:p w:rsidR="00D159F1" w:rsidRPr="00F2460C" w:rsidRDefault="00D159F1" w:rsidP="00F2460C">
      <w:pPr>
        <w:ind w:left="567"/>
        <w:rPr>
          <w:rFonts w:ascii="Arial" w:hAnsi="Arial" w:cs="Arial"/>
          <w:szCs w:val="22"/>
        </w:rPr>
      </w:pPr>
    </w:p>
    <w:p w:rsidR="00330F7B" w:rsidRDefault="00330F7B" w:rsidP="005804A2">
      <w:pPr>
        <w:rPr>
          <w:rFonts w:ascii="Arial" w:hAnsi="Arial" w:cs="Arial"/>
          <w:b/>
        </w:rPr>
      </w:pPr>
      <w:r w:rsidRPr="00494181">
        <w:rPr>
          <w:rFonts w:ascii="Arial" w:hAnsi="Arial" w:cs="Arial"/>
          <w:b/>
        </w:rPr>
        <w:t>Table 3 Capital</w:t>
      </w:r>
      <w:r w:rsidRPr="007B6896">
        <w:rPr>
          <w:rFonts w:ascii="Arial" w:hAnsi="Arial" w:cs="Arial"/>
          <w:b/>
        </w:rPr>
        <w:t xml:space="preserve"> Expenditure</w:t>
      </w:r>
    </w:p>
    <w:p w:rsidR="007A1170" w:rsidRDefault="007A1170" w:rsidP="005804A2">
      <w:pPr>
        <w:rPr>
          <w:rFonts w:ascii="Arial" w:hAnsi="Arial" w:cs="Arial"/>
          <w:b/>
        </w:rPr>
      </w:pPr>
    </w:p>
    <w:tbl>
      <w:tblPr>
        <w:tblW w:w="734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224"/>
        <w:gridCol w:w="1224"/>
        <w:gridCol w:w="1224"/>
        <w:gridCol w:w="1224"/>
      </w:tblGrid>
      <w:tr w:rsidR="00F45AC7" w:rsidRPr="00330F7B" w:rsidTr="002679A2">
        <w:tc>
          <w:tcPr>
            <w:tcW w:w="2448" w:type="dxa"/>
            <w:tcBorders>
              <w:bottom w:val="single" w:sz="4" w:space="0" w:color="auto"/>
            </w:tcBorders>
            <w:shd w:val="clear" w:color="auto" w:fill="D9D9D9"/>
          </w:tcPr>
          <w:p w:rsidR="00F45AC7" w:rsidRPr="002D4E8C" w:rsidRDefault="00F45AC7" w:rsidP="005804A2">
            <w:pPr>
              <w:pStyle w:val="BodyText"/>
              <w:spacing w:after="0"/>
              <w:rPr>
                <w:rFonts w:ascii="Arial" w:hAnsi="Arial" w:cs="Arial"/>
                <w:sz w:val="22"/>
                <w:szCs w:val="22"/>
              </w:rPr>
            </w:pPr>
          </w:p>
        </w:tc>
        <w:tc>
          <w:tcPr>
            <w:tcW w:w="1224" w:type="dxa"/>
            <w:tcBorders>
              <w:bottom w:val="single" w:sz="4" w:space="0" w:color="auto"/>
            </w:tcBorders>
            <w:shd w:val="clear" w:color="auto" w:fill="D9D9D9"/>
          </w:tcPr>
          <w:p w:rsidR="00F45AC7" w:rsidRPr="00330F7B" w:rsidRDefault="00F45AC7" w:rsidP="005804A2">
            <w:pPr>
              <w:pStyle w:val="BodyText"/>
              <w:spacing w:after="0"/>
              <w:jc w:val="center"/>
              <w:rPr>
                <w:rFonts w:ascii="Arial" w:hAnsi="Arial" w:cs="Arial"/>
                <w:b/>
                <w:bCs/>
                <w:sz w:val="22"/>
                <w:szCs w:val="22"/>
              </w:rPr>
            </w:pPr>
            <w:r>
              <w:rPr>
                <w:rFonts w:ascii="Arial" w:hAnsi="Arial" w:cs="Arial"/>
                <w:b/>
                <w:bCs/>
                <w:sz w:val="22"/>
                <w:szCs w:val="22"/>
              </w:rPr>
              <w:t>201</w:t>
            </w:r>
            <w:r w:rsidR="007A1170">
              <w:rPr>
                <w:rFonts w:ascii="Arial" w:hAnsi="Arial" w:cs="Arial"/>
                <w:b/>
                <w:bCs/>
                <w:sz w:val="22"/>
                <w:szCs w:val="22"/>
              </w:rPr>
              <w:t>8</w:t>
            </w:r>
            <w:r>
              <w:rPr>
                <w:rFonts w:ascii="Arial" w:hAnsi="Arial" w:cs="Arial"/>
                <w:b/>
                <w:bCs/>
                <w:sz w:val="22"/>
                <w:szCs w:val="22"/>
              </w:rPr>
              <w:t>/1</w:t>
            </w:r>
            <w:r w:rsidR="007A1170">
              <w:rPr>
                <w:rFonts w:ascii="Arial" w:hAnsi="Arial" w:cs="Arial"/>
                <w:b/>
                <w:bCs/>
                <w:sz w:val="22"/>
                <w:szCs w:val="22"/>
              </w:rPr>
              <w:t>9</w:t>
            </w:r>
          </w:p>
          <w:p w:rsidR="00F45AC7" w:rsidRPr="00330F7B" w:rsidRDefault="00F45AC7" w:rsidP="005804A2">
            <w:pPr>
              <w:pStyle w:val="BodyText"/>
              <w:spacing w:after="0"/>
              <w:jc w:val="center"/>
              <w:rPr>
                <w:rFonts w:ascii="Arial" w:hAnsi="Arial" w:cs="Arial"/>
                <w:b/>
                <w:bCs/>
                <w:sz w:val="22"/>
                <w:szCs w:val="22"/>
              </w:rPr>
            </w:pPr>
            <w:r>
              <w:rPr>
                <w:rFonts w:ascii="Arial" w:hAnsi="Arial" w:cs="Arial"/>
                <w:b/>
                <w:bCs/>
                <w:sz w:val="22"/>
                <w:szCs w:val="22"/>
              </w:rPr>
              <w:t>Revised £</w:t>
            </w:r>
            <w:r w:rsidR="007A1170">
              <w:rPr>
                <w:rFonts w:ascii="Arial" w:hAnsi="Arial" w:cs="Arial"/>
                <w:b/>
                <w:bCs/>
                <w:sz w:val="22"/>
                <w:szCs w:val="22"/>
              </w:rPr>
              <w:t>m</w:t>
            </w:r>
          </w:p>
        </w:tc>
        <w:tc>
          <w:tcPr>
            <w:tcW w:w="1224" w:type="dxa"/>
            <w:tcBorders>
              <w:bottom w:val="single" w:sz="4" w:space="0" w:color="auto"/>
            </w:tcBorders>
            <w:shd w:val="clear" w:color="auto" w:fill="D9D9D9"/>
          </w:tcPr>
          <w:p w:rsidR="00F45AC7" w:rsidRPr="00330F7B" w:rsidRDefault="00F45AC7" w:rsidP="005804A2">
            <w:pPr>
              <w:pStyle w:val="BodyText"/>
              <w:spacing w:after="0"/>
              <w:jc w:val="center"/>
              <w:rPr>
                <w:rFonts w:ascii="Arial" w:hAnsi="Arial" w:cs="Arial"/>
                <w:b/>
                <w:bCs/>
                <w:sz w:val="22"/>
                <w:szCs w:val="22"/>
              </w:rPr>
            </w:pPr>
            <w:r>
              <w:rPr>
                <w:rFonts w:ascii="Arial" w:hAnsi="Arial" w:cs="Arial"/>
                <w:b/>
                <w:bCs/>
                <w:sz w:val="22"/>
                <w:szCs w:val="22"/>
              </w:rPr>
              <w:t>201</w:t>
            </w:r>
            <w:r w:rsidR="007A1170">
              <w:rPr>
                <w:rFonts w:ascii="Arial" w:hAnsi="Arial" w:cs="Arial"/>
                <w:b/>
                <w:bCs/>
                <w:sz w:val="22"/>
                <w:szCs w:val="22"/>
              </w:rPr>
              <w:t>9</w:t>
            </w:r>
            <w:r>
              <w:rPr>
                <w:rFonts w:ascii="Arial" w:hAnsi="Arial" w:cs="Arial"/>
                <w:b/>
                <w:bCs/>
                <w:sz w:val="22"/>
                <w:szCs w:val="22"/>
              </w:rPr>
              <w:t>/</w:t>
            </w:r>
            <w:r w:rsidR="007A1170">
              <w:rPr>
                <w:rFonts w:ascii="Arial" w:hAnsi="Arial" w:cs="Arial"/>
                <w:b/>
                <w:bCs/>
                <w:sz w:val="22"/>
                <w:szCs w:val="22"/>
              </w:rPr>
              <w:t>20</w:t>
            </w:r>
          </w:p>
          <w:p w:rsidR="00F45AC7" w:rsidRPr="00330F7B" w:rsidRDefault="00F45AC7" w:rsidP="005804A2">
            <w:pPr>
              <w:pStyle w:val="BodyText"/>
              <w:spacing w:after="0"/>
              <w:jc w:val="center"/>
              <w:rPr>
                <w:rFonts w:ascii="Arial" w:hAnsi="Arial" w:cs="Arial"/>
                <w:b/>
                <w:bCs/>
                <w:sz w:val="22"/>
                <w:szCs w:val="22"/>
              </w:rPr>
            </w:pPr>
            <w:r>
              <w:rPr>
                <w:rFonts w:ascii="Arial" w:hAnsi="Arial" w:cs="Arial"/>
                <w:b/>
                <w:bCs/>
                <w:sz w:val="22"/>
                <w:szCs w:val="22"/>
              </w:rPr>
              <w:t>Estimate £</w:t>
            </w:r>
            <w:r w:rsidR="007A1170">
              <w:rPr>
                <w:rFonts w:ascii="Arial" w:hAnsi="Arial" w:cs="Arial"/>
                <w:b/>
                <w:bCs/>
                <w:sz w:val="22"/>
                <w:szCs w:val="22"/>
              </w:rPr>
              <w:t>m</w:t>
            </w:r>
          </w:p>
        </w:tc>
        <w:tc>
          <w:tcPr>
            <w:tcW w:w="1224" w:type="dxa"/>
            <w:tcBorders>
              <w:bottom w:val="single" w:sz="4" w:space="0" w:color="auto"/>
            </w:tcBorders>
            <w:shd w:val="clear" w:color="auto" w:fill="D9D9D9"/>
          </w:tcPr>
          <w:p w:rsidR="00F45AC7" w:rsidRDefault="00F45AC7" w:rsidP="005804A2">
            <w:pPr>
              <w:pStyle w:val="BodyText"/>
              <w:spacing w:after="0"/>
              <w:jc w:val="center"/>
              <w:rPr>
                <w:rFonts w:ascii="Arial" w:hAnsi="Arial" w:cs="Arial"/>
                <w:b/>
                <w:bCs/>
                <w:sz w:val="22"/>
                <w:szCs w:val="22"/>
              </w:rPr>
            </w:pPr>
            <w:r>
              <w:rPr>
                <w:rFonts w:ascii="Arial" w:hAnsi="Arial" w:cs="Arial"/>
                <w:b/>
                <w:bCs/>
                <w:sz w:val="22"/>
                <w:szCs w:val="22"/>
              </w:rPr>
              <w:t>20</w:t>
            </w:r>
            <w:r w:rsidR="007A1170">
              <w:rPr>
                <w:rFonts w:ascii="Arial" w:hAnsi="Arial" w:cs="Arial"/>
                <w:b/>
                <w:bCs/>
                <w:sz w:val="22"/>
                <w:szCs w:val="22"/>
              </w:rPr>
              <w:t>20</w:t>
            </w:r>
            <w:r>
              <w:rPr>
                <w:rFonts w:ascii="Arial" w:hAnsi="Arial" w:cs="Arial"/>
                <w:b/>
                <w:bCs/>
                <w:sz w:val="22"/>
                <w:szCs w:val="22"/>
              </w:rPr>
              <w:t>/2</w:t>
            </w:r>
            <w:r w:rsidR="007A1170">
              <w:rPr>
                <w:rFonts w:ascii="Arial" w:hAnsi="Arial" w:cs="Arial"/>
                <w:b/>
                <w:bCs/>
                <w:sz w:val="22"/>
                <w:szCs w:val="22"/>
              </w:rPr>
              <w:t>1</w:t>
            </w:r>
          </w:p>
          <w:p w:rsidR="00F45AC7" w:rsidRPr="00330F7B" w:rsidRDefault="00F45AC7" w:rsidP="005804A2">
            <w:pPr>
              <w:pStyle w:val="BodyText"/>
              <w:spacing w:after="0"/>
              <w:jc w:val="center"/>
              <w:rPr>
                <w:rFonts w:ascii="Arial" w:hAnsi="Arial" w:cs="Arial"/>
                <w:b/>
                <w:bCs/>
                <w:sz w:val="22"/>
                <w:szCs w:val="22"/>
              </w:rPr>
            </w:pPr>
            <w:r>
              <w:rPr>
                <w:rFonts w:ascii="Arial" w:hAnsi="Arial" w:cs="Arial"/>
                <w:b/>
                <w:bCs/>
                <w:sz w:val="22"/>
                <w:szCs w:val="22"/>
              </w:rPr>
              <w:t>Estimate £</w:t>
            </w:r>
            <w:r w:rsidR="007A1170">
              <w:rPr>
                <w:rFonts w:ascii="Arial" w:hAnsi="Arial" w:cs="Arial"/>
                <w:b/>
                <w:bCs/>
                <w:sz w:val="22"/>
                <w:szCs w:val="22"/>
              </w:rPr>
              <w:t>m</w:t>
            </w:r>
          </w:p>
        </w:tc>
        <w:tc>
          <w:tcPr>
            <w:tcW w:w="1224" w:type="dxa"/>
            <w:tcBorders>
              <w:bottom w:val="single" w:sz="4" w:space="0" w:color="auto"/>
            </w:tcBorders>
            <w:shd w:val="clear" w:color="auto" w:fill="D9D9D9"/>
          </w:tcPr>
          <w:p w:rsidR="00F45AC7" w:rsidRPr="00330F7B" w:rsidRDefault="00F45AC7" w:rsidP="005804A2">
            <w:pPr>
              <w:pStyle w:val="BodyText"/>
              <w:spacing w:after="0"/>
              <w:jc w:val="center"/>
              <w:rPr>
                <w:rFonts w:ascii="Arial" w:hAnsi="Arial" w:cs="Arial"/>
                <w:b/>
                <w:bCs/>
                <w:sz w:val="22"/>
                <w:szCs w:val="22"/>
              </w:rPr>
            </w:pPr>
            <w:r>
              <w:rPr>
                <w:rFonts w:ascii="Arial" w:hAnsi="Arial" w:cs="Arial"/>
                <w:b/>
                <w:bCs/>
                <w:sz w:val="22"/>
                <w:szCs w:val="22"/>
              </w:rPr>
              <w:t>202</w:t>
            </w:r>
            <w:r w:rsidR="007A1170">
              <w:rPr>
                <w:rFonts w:ascii="Arial" w:hAnsi="Arial" w:cs="Arial"/>
                <w:b/>
                <w:bCs/>
                <w:sz w:val="22"/>
                <w:szCs w:val="22"/>
              </w:rPr>
              <w:t>1</w:t>
            </w:r>
            <w:r>
              <w:rPr>
                <w:rFonts w:ascii="Arial" w:hAnsi="Arial" w:cs="Arial"/>
                <w:b/>
                <w:bCs/>
                <w:sz w:val="22"/>
                <w:szCs w:val="22"/>
              </w:rPr>
              <w:t>/2</w:t>
            </w:r>
            <w:r w:rsidR="007A1170">
              <w:rPr>
                <w:rFonts w:ascii="Arial" w:hAnsi="Arial" w:cs="Arial"/>
                <w:b/>
                <w:bCs/>
                <w:sz w:val="22"/>
                <w:szCs w:val="22"/>
              </w:rPr>
              <w:t>2</w:t>
            </w:r>
          </w:p>
          <w:p w:rsidR="00F45AC7" w:rsidRPr="00330F7B" w:rsidRDefault="00F45AC7" w:rsidP="005804A2">
            <w:pPr>
              <w:pStyle w:val="BodyText"/>
              <w:spacing w:after="0"/>
              <w:jc w:val="center"/>
              <w:rPr>
                <w:rFonts w:ascii="Arial" w:hAnsi="Arial" w:cs="Arial"/>
                <w:b/>
                <w:bCs/>
                <w:sz w:val="22"/>
                <w:szCs w:val="22"/>
              </w:rPr>
            </w:pPr>
            <w:r>
              <w:rPr>
                <w:rFonts w:ascii="Arial" w:hAnsi="Arial" w:cs="Arial"/>
                <w:b/>
                <w:bCs/>
                <w:sz w:val="22"/>
                <w:szCs w:val="22"/>
              </w:rPr>
              <w:t>Estimate £</w:t>
            </w:r>
            <w:r w:rsidR="007A1170">
              <w:rPr>
                <w:rFonts w:ascii="Arial" w:hAnsi="Arial" w:cs="Arial"/>
                <w:b/>
                <w:bCs/>
                <w:sz w:val="22"/>
                <w:szCs w:val="22"/>
              </w:rPr>
              <w:t>m</w:t>
            </w:r>
          </w:p>
        </w:tc>
      </w:tr>
      <w:tr w:rsidR="00F45AC7" w:rsidRPr="00330F7B" w:rsidTr="002679A2">
        <w:tc>
          <w:tcPr>
            <w:tcW w:w="2448" w:type="dxa"/>
            <w:tcBorders>
              <w:top w:val="single" w:sz="4" w:space="0" w:color="auto"/>
              <w:bottom w:val="single" w:sz="4" w:space="0" w:color="auto"/>
            </w:tcBorders>
          </w:tcPr>
          <w:p w:rsidR="00F45AC7" w:rsidRPr="00DE4C30" w:rsidRDefault="00F45AC7" w:rsidP="005804A2">
            <w:pPr>
              <w:pStyle w:val="BodyText"/>
              <w:spacing w:after="0"/>
              <w:rPr>
                <w:rFonts w:ascii="Arial" w:hAnsi="Arial" w:cs="Arial"/>
                <w:iCs/>
                <w:sz w:val="22"/>
                <w:szCs w:val="22"/>
              </w:rPr>
            </w:pPr>
            <w:r w:rsidRPr="00DE4C30">
              <w:rPr>
                <w:rFonts w:ascii="Arial" w:hAnsi="Arial" w:cs="Arial"/>
                <w:iCs/>
                <w:sz w:val="22"/>
                <w:szCs w:val="22"/>
              </w:rPr>
              <w:t>General Fund</w:t>
            </w:r>
          </w:p>
        </w:tc>
        <w:tc>
          <w:tcPr>
            <w:tcW w:w="1224" w:type="dxa"/>
            <w:tcBorders>
              <w:top w:val="single" w:sz="4" w:space="0" w:color="auto"/>
              <w:bottom w:val="single" w:sz="4" w:space="0" w:color="auto"/>
            </w:tcBorders>
          </w:tcPr>
          <w:p w:rsidR="00F45AC7" w:rsidRPr="008E3D9A" w:rsidRDefault="0014524E" w:rsidP="0014524E">
            <w:pPr>
              <w:pStyle w:val="BodyText"/>
              <w:spacing w:after="0"/>
              <w:jc w:val="right"/>
              <w:rPr>
                <w:rFonts w:ascii="Arial" w:hAnsi="Arial" w:cs="Arial"/>
                <w:sz w:val="22"/>
                <w:szCs w:val="22"/>
              </w:rPr>
            </w:pPr>
            <w:r w:rsidRPr="008E3D9A">
              <w:rPr>
                <w:rFonts w:ascii="Arial" w:hAnsi="Arial" w:cs="Arial"/>
                <w:sz w:val="22"/>
                <w:szCs w:val="22"/>
              </w:rPr>
              <w:t>15</w:t>
            </w:r>
            <w:r w:rsidR="00F45AC7" w:rsidRPr="008E3D9A">
              <w:rPr>
                <w:rFonts w:ascii="Arial" w:hAnsi="Arial" w:cs="Arial"/>
                <w:sz w:val="22"/>
                <w:szCs w:val="22"/>
              </w:rPr>
              <w:t>.</w:t>
            </w:r>
            <w:r w:rsidRPr="008E3D9A">
              <w:rPr>
                <w:rFonts w:ascii="Arial" w:hAnsi="Arial" w:cs="Arial"/>
                <w:sz w:val="22"/>
                <w:szCs w:val="22"/>
              </w:rPr>
              <w:t>746</w:t>
            </w:r>
          </w:p>
        </w:tc>
        <w:tc>
          <w:tcPr>
            <w:tcW w:w="1224" w:type="dxa"/>
            <w:tcBorders>
              <w:top w:val="single" w:sz="4" w:space="0" w:color="auto"/>
              <w:bottom w:val="single" w:sz="4" w:space="0" w:color="auto"/>
            </w:tcBorders>
          </w:tcPr>
          <w:p w:rsidR="00F45AC7" w:rsidRPr="008E3D9A" w:rsidRDefault="0014524E" w:rsidP="0014524E">
            <w:pPr>
              <w:pStyle w:val="BodyText"/>
              <w:spacing w:after="0"/>
              <w:jc w:val="right"/>
              <w:rPr>
                <w:rFonts w:ascii="Arial" w:hAnsi="Arial" w:cs="Arial"/>
                <w:sz w:val="22"/>
                <w:szCs w:val="22"/>
              </w:rPr>
            </w:pPr>
            <w:r w:rsidRPr="008E3D9A">
              <w:rPr>
                <w:rFonts w:ascii="Arial" w:hAnsi="Arial" w:cs="Arial"/>
                <w:sz w:val="22"/>
                <w:szCs w:val="22"/>
              </w:rPr>
              <w:t>7</w:t>
            </w:r>
            <w:r w:rsidR="00F45AC7" w:rsidRPr="008E3D9A">
              <w:rPr>
                <w:rFonts w:ascii="Arial" w:hAnsi="Arial" w:cs="Arial"/>
                <w:sz w:val="22"/>
                <w:szCs w:val="22"/>
              </w:rPr>
              <w:t>.</w:t>
            </w:r>
            <w:r w:rsidRPr="008E3D9A">
              <w:rPr>
                <w:rFonts w:ascii="Arial" w:hAnsi="Arial" w:cs="Arial"/>
                <w:sz w:val="22"/>
                <w:szCs w:val="22"/>
              </w:rPr>
              <w:t>615</w:t>
            </w:r>
          </w:p>
        </w:tc>
        <w:tc>
          <w:tcPr>
            <w:tcW w:w="1224" w:type="dxa"/>
            <w:tcBorders>
              <w:top w:val="single" w:sz="4" w:space="0" w:color="auto"/>
              <w:bottom w:val="single" w:sz="4" w:space="0" w:color="auto"/>
            </w:tcBorders>
          </w:tcPr>
          <w:p w:rsidR="00F45AC7" w:rsidRPr="008E3D9A" w:rsidRDefault="0014524E" w:rsidP="0014524E">
            <w:pPr>
              <w:pStyle w:val="BodyText"/>
              <w:spacing w:after="0"/>
              <w:jc w:val="right"/>
              <w:rPr>
                <w:rFonts w:ascii="Arial" w:hAnsi="Arial" w:cs="Arial"/>
                <w:sz w:val="22"/>
                <w:szCs w:val="22"/>
              </w:rPr>
            </w:pPr>
            <w:r w:rsidRPr="008E3D9A">
              <w:rPr>
                <w:rFonts w:ascii="Arial" w:hAnsi="Arial" w:cs="Arial"/>
                <w:sz w:val="22"/>
                <w:szCs w:val="22"/>
              </w:rPr>
              <w:t>5</w:t>
            </w:r>
            <w:r w:rsidR="00F45AC7" w:rsidRPr="008E3D9A">
              <w:rPr>
                <w:rFonts w:ascii="Arial" w:hAnsi="Arial" w:cs="Arial"/>
                <w:sz w:val="22"/>
                <w:szCs w:val="22"/>
              </w:rPr>
              <w:t>.</w:t>
            </w:r>
            <w:r w:rsidRPr="008E3D9A">
              <w:rPr>
                <w:rFonts w:ascii="Arial" w:hAnsi="Arial" w:cs="Arial"/>
                <w:sz w:val="22"/>
                <w:szCs w:val="22"/>
              </w:rPr>
              <w:t>512</w:t>
            </w:r>
          </w:p>
        </w:tc>
        <w:tc>
          <w:tcPr>
            <w:tcW w:w="1224" w:type="dxa"/>
            <w:tcBorders>
              <w:top w:val="single" w:sz="4" w:space="0" w:color="auto"/>
              <w:bottom w:val="single" w:sz="4" w:space="0" w:color="auto"/>
            </w:tcBorders>
          </w:tcPr>
          <w:p w:rsidR="00F45AC7" w:rsidRPr="008E3D9A" w:rsidRDefault="0014524E" w:rsidP="0014524E">
            <w:pPr>
              <w:pStyle w:val="BodyText"/>
              <w:spacing w:after="0"/>
              <w:jc w:val="right"/>
              <w:rPr>
                <w:rFonts w:ascii="Arial" w:hAnsi="Arial" w:cs="Arial"/>
                <w:sz w:val="22"/>
                <w:szCs w:val="22"/>
              </w:rPr>
            </w:pPr>
            <w:r w:rsidRPr="008E3D9A">
              <w:rPr>
                <w:rFonts w:ascii="Arial" w:hAnsi="Arial" w:cs="Arial"/>
                <w:sz w:val="22"/>
                <w:szCs w:val="22"/>
              </w:rPr>
              <w:t>3.999</w:t>
            </w:r>
          </w:p>
        </w:tc>
      </w:tr>
      <w:tr w:rsidR="00F45AC7" w:rsidRPr="00330F7B" w:rsidTr="00F45AC7">
        <w:tc>
          <w:tcPr>
            <w:tcW w:w="2448" w:type="dxa"/>
          </w:tcPr>
          <w:p w:rsidR="00F45AC7" w:rsidRPr="00DE4C30" w:rsidRDefault="00F45AC7" w:rsidP="005804A2">
            <w:pPr>
              <w:pStyle w:val="BodyText"/>
              <w:spacing w:after="0"/>
              <w:rPr>
                <w:rFonts w:ascii="Arial" w:hAnsi="Arial" w:cs="Arial"/>
                <w:iCs/>
                <w:sz w:val="22"/>
                <w:szCs w:val="22"/>
              </w:rPr>
            </w:pPr>
            <w:r w:rsidRPr="00DE4C30">
              <w:rPr>
                <w:rFonts w:ascii="Arial" w:hAnsi="Arial" w:cs="Arial"/>
                <w:iCs/>
                <w:sz w:val="22"/>
                <w:szCs w:val="22"/>
              </w:rPr>
              <w:t>HRA</w:t>
            </w:r>
          </w:p>
        </w:tc>
        <w:tc>
          <w:tcPr>
            <w:tcW w:w="1224" w:type="dxa"/>
          </w:tcPr>
          <w:p w:rsidR="00F45AC7" w:rsidRPr="008E3D9A" w:rsidRDefault="00F45AC7" w:rsidP="0014524E">
            <w:pPr>
              <w:pStyle w:val="BodyText"/>
              <w:spacing w:after="0"/>
              <w:jc w:val="right"/>
              <w:rPr>
                <w:rFonts w:ascii="Arial" w:hAnsi="Arial" w:cs="Arial"/>
                <w:sz w:val="22"/>
                <w:szCs w:val="22"/>
              </w:rPr>
            </w:pPr>
            <w:r w:rsidRPr="008E3D9A">
              <w:rPr>
                <w:rFonts w:ascii="Arial" w:hAnsi="Arial" w:cs="Arial"/>
                <w:sz w:val="22"/>
                <w:szCs w:val="22"/>
              </w:rPr>
              <w:t>17.</w:t>
            </w:r>
            <w:r w:rsidR="0014524E" w:rsidRPr="008E3D9A">
              <w:rPr>
                <w:rFonts w:ascii="Arial" w:hAnsi="Arial" w:cs="Arial"/>
                <w:sz w:val="22"/>
                <w:szCs w:val="22"/>
              </w:rPr>
              <w:t>681</w:t>
            </w:r>
          </w:p>
        </w:tc>
        <w:tc>
          <w:tcPr>
            <w:tcW w:w="1224" w:type="dxa"/>
          </w:tcPr>
          <w:p w:rsidR="00F45AC7" w:rsidRPr="008E3D9A" w:rsidRDefault="0014524E" w:rsidP="0014524E">
            <w:pPr>
              <w:pStyle w:val="BodyText"/>
              <w:spacing w:after="0"/>
              <w:jc w:val="right"/>
              <w:rPr>
                <w:rFonts w:ascii="Arial" w:hAnsi="Arial" w:cs="Arial"/>
                <w:sz w:val="22"/>
                <w:szCs w:val="22"/>
              </w:rPr>
            </w:pPr>
            <w:r w:rsidRPr="008E3D9A">
              <w:rPr>
                <w:rFonts w:ascii="Arial" w:hAnsi="Arial" w:cs="Arial"/>
                <w:sz w:val="22"/>
                <w:szCs w:val="22"/>
              </w:rPr>
              <w:t>22</w:t>
            </w:r>
            <w:r w:rsidR="00F45AC7" w:rsidRPr="008E3D9A">
              <w:rPr>
                <w:rFonts w:ascii="Arial" w:hAnsi="Arial" w:cs="Arial"/>
                <w:sz w:val="22"/>
                <w:szCs w:val="22"/>
              </w:rPr>
              <w:t>.</w:t>
            </w:r>
            <w:r w:rsidRPr="008E3D9A">
              <w:rPr>
                <w:rFonts w:ascii="Arial" w:hAnsi="Arial" w:cs="Arial"/>
                <w:sz w:val="22"/>
                <w:szCs w:val="22"/>
              </w:rPr>
              <w:t>534</w:t>
            </w:r>
          </w:p>
        </w:tc>
        <w:tc>
          <w:tcPr>
            <w:tcW w:w="1224" w:type="dxa"/>
          </w:tcPr>
          <w:p w:rsidR="00F45AC7" w:rsidRPr="008E3D9A" w:rsidRDefault="0014524E" w:rsidP="0014524E">
            <w:pPr>
              <w:pStyle w:val="BodyText"/>
              <w:spacing w:after="0"/>
              <w:jc w:val="right"/>
              <w:rPr>
                <w:rFonts w:ascii="Arial" w:hAnsi="Arial" w:cs="Arial"/>
                <w:sz w:val="22"/>
                <w:szCs w:val="22"/>
              </w:rPr>
            </w:pPr>
            <w:r w:rsidRPr="008E3D9A">
              <w:rPr>
                <w:rFonts w:ascii="Arial" w:hAnsi="Arial" w:cs="Arial"/>
                <w:sz w:val="22"/>
                <w:szCs w:val="22"/>
              </w:rPr>
              <w:t>9</w:t>
            </w:r>
            <w:r w:rsidR="00F45AC7" w:rsidRPr="008E3D9A">
              <w:rPr>
                <w:rFonts w:ascii="Arial" w:hAnsi="Arial" w:cs="Arial"/>
                <w:sz w:val="22"/>
                <w:szCs w:val="22"/>
              </w:rPr>
              <w:t>.</w:t>
            </w:r>
            <w:r w:rsidRPr="008E3D9A">
              <w:rPr>
                <w:rFonts w:ascii="Arial" w:hAnsi="Arial" w:cs="Arial"/>
                <w:sz w:val="22"/>
                <w:szCs w:val="22"/>
              </w:rPr>
              <w:t>634</w:t>
            </w:r>
          </w:p>
        </w:tc>
        <w:tc>
          <w:tcPr>
            <w:tcW w:w="1224" w:type="dxa"/>
          </w:tcPr>
          <w:p w:rsidR="00F45AC7" w:rsidRPr="008E3D9A" w:rsidRDefault="0014524E" w:rsidP="0014524E">
            <w:pPr>
              <w:pStyle w:val="BodyText"/>
              <w:spacing w:after="0"/>
              <w:jc w:val="right"/>
              <w:rPr>
                <w:rFonts w:ascii="Arial" w:hAnsi="Arial" w:cs="Arial"/>
                <w:sz w:val="22"/>
                <w:szCs w:val="22"/>
              </w:rPr>
            </w:pPr>
            <w:r w:rsidRPr="008E3D9A">
              <w:rPr>
                <w:rFonts w:ascii="Arial" w:hAnsi="Arial" w:cs="Arial"/>
                <w:sz w:val="22"/>
                <w:szCs w:val="22"/>
              </w:rPr>
              <w:t>9.134</w:t>
            </w:r>
          </w:p>
        </w:tc>
      </w:tr>
      <w:tr w:rsidR="00F45AC7" w:rsidRPr="00330F7B" w:rsidTr="00F45AC7">
        <w:tc>
          <w:tcPr>
            <w:tcW w:w="2448" w:type="dxa"/>
          </w:tcPr>
          <w:p w:rsidR="00F45AC7" w:rsidRPr="00E32D51" w:rsidRDefault="00F45AC7" w:rsidP="005804A2">
            <w:pPr>
              <w:pStyle w:val="BodyText"/>
              <w:spacing w:after="0"/>
              <w:rPr>
                <w:rFonts w:ascii="Arial" w:hAnsi="Arial" w:cs="Arial"/>
                <w:b/>
                <w:iCs/>
                <w:sz w:val="22"/>
                <w:szCs w:val="22"/>
              </w:rPr>
            </w:pPr>
            <w:r w:rsidRPr="00E32D51">
              <w:rPr>
                <w:rFonts w:ascii="Arial" w:hAnsi="Arial" w:cs="Arial"/>
                <w:b/>
                <w:iCs/>
                <w:sz w:val="22"/>
                <w:szCs w:val="22"/>
              </w:rPr>
              <w:t>Estimated Capital Expenditure</w:t>
            </w:r>
          </w:p>
        </w:tc>
        <w:tc>
          <w:tcPr>
            <w:tcW w:w="1224" w:type="dxa"/>
          </w:tcPr>
          <w:p w:rsidR="00F45AC7" w:rsidRPr="008E3D9A" w:rsidRDefault="00F45AC7" w:rsidP="0014524E">
            <w:pPr>
              <w:pStyle w:val="BodyText"/>
              <w:spacing w:after="0"/>
              <w:jc w:val="right"/>
              <w:rPr>
                <w:rFonts w:ascii="Arial" w:hAnsi="Arial" w:cs="Arial"/>
                <w:b/>
                <w:sz w:val="22"/>
                <w:szCs w:val="22"/>
              </w:rPr>
            </w:pPr>
            <w:r w:rsidRPr="008E3D9A">
              <w:rPr>
                <w:rFonts w:ascii="Arial" w:hAnsi="Arial" w:cs="Arial"/>
                <w:b/>
                <w:sz w:val="22"/>
                <w:szCs w:val="22"/>
              </w:rPr>
              <w:t>3</w:t>
            </w:r>
            <w:r w:rsidR="0014524E" w:rsidRPr="008E3D9A">
              <w:rPr>
                <w:rFonts w:ascii="Arial" w:hAnsi="Arial" w:cs="Arial"/>
                <w:b/>
                <w:sz w:val="22"/>
                <w:szCs w:val="22"/>
              </w:rPr>
              <w:t>3</w:t>
            </w:r>
            <w:r w:rsidRPr="008E3D9A">
              <w:rPr>
                <w:rFonts w:ascii="Arial" w:hAnsi="Arial" w:cs="Arial"/>
                <w:b/>
                <w:sz w:val="22"/>
                <w:szCs w:val="22"/>
              </w:rPr>
              <w:t>.</w:t>
            </w:r>
            <w:r w:rsidR="0014524E" w:rsidRPr="008E3D9A">
              <w:rPr>
                <w:rFonts w:ascii="Arial" w:hAnsi="Arial" w:cs="Arial"/>
                <w:b/>
                <w:sz w:val="22"/>
                <w:szCs w:val="22"/>
              </w:rPr>
              <w:t>427</w:t>
            </w:r>
          </w:p>
        </w:tc>
        <w:tc>
          <w:tcPr>
            <w:tcW w:w="1224" w:type="dxa"/>
          </w:tcPr>
          <w:p w:rsidR="00F45AC7" w:rsidRPr="008E3D9A" w:rsidRDefault="00F45AC7" w:rsidP="0014524E">
            <w:pPr>
              <w:pStyle w:val="BodyText"/>
              <w:spacing w:after="0"/>
              <w:jc w:val="right"/>
              <w:rPr>
                <w:rFonts w:ascii="Arial" w:hAnsi="Arial" w:cs="Arial"/>
                <w:b/>
                <w:sz w:val="22"/>
                <w:szCs w:val="22"/>
              </w:rPr>
            </w:pPr>
            <w:r w:rsidRPr="008E3D9A">
              <w:rPr>
                <w:rFonts w:ascii="Arial" w:hAnsi="Arial" w:cs="Arial"/>
                <w:b/>
                <w:sz w:val="22"/>
                <w:szCs w:val="22"/>
              </w:rPr>
              <w:t>3</w:t>
            </w:r>
            <w:r w:rsidR="0014524E" w:rsidRPr="008E3D9A">
              <w:rPr>
                <w:rFonts w:ascii="Arial" w:hAnsi="Arial" w:cs="Arial"/>
                <w:b/>
                <w:sz w:val="22"/>
                <w:szCs w:val="22"/>
              </w:rPr>
              <w:t>0</w:t>
            </w:r>
            <w:r w:rsidRPr="008E3D9A">
              <w:rPr>
                <w:rFonts w:ascii="Arial" w:hAnsi="Arial" w:cs="Arial"/>
                <w:b/>
                <w:sz w:val="22"/>
                <w:szCs w:val="22"/>
              </w:rPr>
              <w:t>.</w:t>
            </w:r>
            <w:r w:rsidR="0014524E" w:rsidRPr="008E3D9A">
              <w:rPr>
                <w:rFonts w:ascii="Arial" w:hAnsi="Arial" w:cs="Arial"/>
                <w:b/>
                <w:sz w:val="22"/>
                <w:szCs w:val="22"/>
              </w:rPr>
              <w:t>149</w:t>
            </w:r>
          </w:p>
        </w:tc>
        <w:tc>
          <w:tcPr>
            <w:tcW w:w="1224" w:type="dxa"/>
          </w:tcPr>
          <w:p w:rsidR="00F45AC7" w:rsidRPr="008E3D9A" w:rsidRDefault="00F45AC7" w:rsidP="0014524E">
            <w:pPr>
              <w:pStyle w:val="BodyText"/>
              <w:spacing w:after="0"/>
              <w:jc w:val="right"/>
              <w:rPr>
                <w:rFonts w:ascii="Arial" w:hAnsi="Arial" w:cs="Arial"/>
                <w:b/>
                <w:sz w:val="22"/>
                <w:szCs w:val="22"/>
              </w:rPr>
            </w:pPr>
            <w:r w:rsidRPr="008E3D9A">
              <w:rPr>
                <w:rFonts w:ascii="Arial" w:hAnsi="Arial" w:cs="Arial"/>
                <w:b/>
                <w:sz w:val="22"/>
                <w:szCs w:val="22"/>
              </w:rPr>
              <w:t>1</w:t>
            </w:r>
            <w:r w:rsidR="0014524E" w:rsidRPr="008E3D9A">
              <w:rPr>
                <w:rFonts w:ascii="Arial" w:hAnsi="Arial" w:cs="Arial"/>
                <w:b/>
                <w:sz w:val="22"/>
                <w:szCs w:val="22"/>
              </w:rPr>
              <w:t>5</w:t>
            </w:r>
            <w:r w:rsidRPr="008E3D9A">
              <w:rPr>
                <w:rFonts w:ascii="Arial" w:hAnsi="Arial" w:cs="Arial"/>
                <w:b/>
                <w:sz w:val="22"/>
                <w:szCs w:val="22"/>
              </w:rPr>
              <w:t>.</w:t>
            </w:r>
            <w:r w:rsidR="0014524E" w:rsidRPr="008E3D9A">
              <w:rPr>
                <w:rFonts w:ascii="Arial" w:hAnsi="Arial" w:cs="Arial"/>
                <w:b/>
                <w:sz w:val="22"/>
                <w:szCs w:val="22"/>
              </w:rPr>
              <w:t>146</w:t>
            </w:r>
          </w:p>
        </w:tc>
        <w:tc>
          <w:tcPr>
            <w:tcW w:w="1224" w:type="dxa"/>
          </w:tcPr>
          <w:p w:rsidR="00F45AC7" w:rsidRPr="008E3D9A" w:rsidRDefault="00F45AC7" w:rsidP="0014524E">
            <w:pPr>
              <w:pStyle w:val="BodyText"/>
              <w:spacing w:after="0"/>
              <w:jc w:val="right"/>
              <w:rPr>
                <w:rFonts w:ascii="Arial" w:hAnsi="Arial" w:cs="Arial"/>
                <w:b/>
                <w:sz w:val="22"/>
                <w:szCs w:val="22"/>
              </w:rPr>
            </w:pPr>
            <w:r w:rsidRPr="008E3D9A">
              <w:rPr>
                <w:rFonts w:ascii="Arial" w:hAnsi="Arial" w:cs="Arial"/>
                <w:b/>
                <w:sz w:val="22"/>
                <w:szCs w:val="22"/>
              </w:rPr>
              <w:t>1</w:t>
            </w:r>
            <w:r w:rsidR="0014524E" w:rsidRPr="008E3D9A">
              <w:rPr>
                <w:rFonts w:ascii="Arial" w:hAnsi="Arial" w:cs="Arial"/>
                <w:b/>
                <w:sz w:val="22"/>
                <w:szCs w:val="22"/>
              </w:rPr>
              <w:t>3</w:t>
            </w:r>
            <w:r w:rsidRPr="008E3D9A">
              <w:rPr>
                <w:rFonts w:ascii="Arial" w:hAnsi="Arial" w:cs="Arial"/>
                <w:b/>
                <w:sz w:val="22"/>
                <w:szCs w:val="22"/>
              </w:rPr>
              <w:t>.</w:t>
            </w:r>
            <w:r w:rsidR="0014524E" w:rsidRPr="008E3D9A">
              <w:rPr>
                <w:rFonts w:ascii="Arial" w:hAnsi="Arial" w:cs="Arial"/>
                <w:b/>
                <w:sz w:val="22"/>
                <w:szCs w:val="22"/>
              </w:rPr>
              <w:t>133</w:t>
            </w:r>
          </w:p>
        </w:tc>
      </w:tr>
      <w:tr w:rsidR="00F45AC7" w:rsidRPr="00330F7B" w:rsidTr="00F45AC7">
        <w:tc>
          <w:tcPr>
            <w:tcW w:w="2448" w:type="dxa"/>
          </w:tcPr>
          <w:p w:rsidR="00F45AC7" w:rsidRPr="00DE4C30" w:rsidRDefault="00F45AC7" w:rsidP="005804A2">
            <w:pPr>
              <w:pStyle w:val="BodyText"/>
              <w:spacing w:after="0"/>
              <w:rPr>
                <w:rFonts w:ascii="Arial" w:hAnsi="Arial" w:cs="Arial"/>
                <w:iCs/>
                <w:sz w:val="22"/>
                <w:szCs w:val="22"/>
              </w:rPr>
            </w:pPr>
            <w:r>
              <w:rPr>
                <w:rFonts w:ascii="Arial" w:hAnsi="Arial" w:cs="Arial"/>
                <w:iCs/>
                <w:sz w:val="22"/>
                <w:szCs w:val="22"/>
              </w:rPr>
              <w:t>Loans Facility to Registered Social Landlords (RSL’s)</w:t>
            </w:r>
          </w:p>
        </w:tc>
        <w:tc>
          <w:tcPr>
            <w:tcW w:w="1224" w:type="dxa"/>
          </w:tcPr>
          <w:p w:rsidR="00F45AC7" w:rsidRPr="008E3D9A" w:rsidRDefault="003529B9" w:rsidP="003529B9">
            <w:pPr>
              <w:pStyle w:val="BodyText"/>
              <w:spacing w:after="0"/>
              <w:jc w:val="right"/>
              <w:rPr>
                <w:rFonts w:ascii="Arial" w:hAnsi="Arial" w:cs="Arial"/>
                <w:sz w:val="22"/>
                <w:szCs w:val="22"/>
              </w:rPr>
            </w:pPr>
            <w:r>
              <w:rPr>
                <w:rFonts w:ascii="Arial" w:hAnsi="Arial" w:cs="Arial"/>
                <w:sz w:val="22"/>
                <w:szCs w:val="22"/>
              </w:rPr>
              <w:t>0</w:t>
            </w:r>
            <w:r w:rsidR="00F45AC7" w:rsidRPr="008E3D9A">
              <w:rPr>
                <w:rFonts w:ascii="Arial" w:hAnsi="Arial" w:cs="Arial"/>
                <w:sz w:val="22"/>
                <w:szCs w:val="22"/>
              </w:rPr>
              <w:t>.000</w:t>
            </w:r>
          </w:p>
        </w:tc>
        <w:tc>
          <w:tcPr>
            <w:tcW w:w="1224" w:type="dxa"/>
          </w:tcPr>
          <w:p w:rsidR="00F45AC7" w:rsidRPr="008E3D9A" w:rsidRDefault="00F45AC7" w:rsidP="005804A2">
            <w:pPr>
              <w:pStyle w:val="BodyText"/>
              <w:spacing w:after="0"/>
              <w:jc w:val="right"/>
              <w:rPr>
                <w:rFonts w:ascii="Arial" w:hAnsi="Arial" w:cs="Arial"/>
                <w:sz w:val="22"/>
                <w:szCs w:val="22"/>
              </w:rPr>
            </w:pPr>
            <w:r w:rsidRPr="008E3D9A">
              <w:rPr>
                <w:rFonts w:ascii="Arial" w:hAnsi="Arial" w:cs="Arial"/>
                <w:sz w:val="22"/>
                <w:szCs w:val="22"/>
              </w:rPr>
              <w:t>0.000</w:t>
            </w:r>
          </w:p>
        </w:tc>
        <w:tc>
          <w:tcPr>
            <w:tcW w:w="1224" w:type="dxa"/>
          </w:tcPr>
          <w:p w:rsidR="00F45AC7" w:rsidRPr="008E3D9A" w:rsidRDefault="00F45AC7" w:rsidP="005804A2">
            <w:pPr>
              <w:pStyle w:val="BodyText"/>
              <w:spacing w:after="0"/>
              <w:jc w:val="right"/>
              <w:rPr>
                <w:rFonts w:ascii="Arial" w:hAnsi="Arial" w:cs="Arial"/>
                <w:sz w:val="22"/>
                <w:szCs w:val="22"/>
              </w:rPr>
            </w:pPr>
            <w:r w:rsidRPr="008E3D9A">
              <w:rPr>
                <w:rFonts w:ascii="Arial" w:hAnsi="Arial" w:cs="Arial"/>
                <w:sz w:val="22"/>
                <w:szCs w:val="22"/>
              </w:rPr>
              <w:t>0.000</w:t>
            </w:r>
          </w:p>
        </w:tc>
        <w:tc>
          <w:tcPr>
            <w:tcW w:w="1224" w:type="dxa"/>
          </w:tcPr>
          <w:p w:rsidR="00F45AC7" w:rsidRPr="008E3D9A" w:rsidRDefault="00F45AC7" w:rsidP="005804A2">
            <w:pPr>
              <w:pStyle w:val="BodyText"/>
              <w:spacing w:after="0"/>
              <w:jc w:val="right"/>
              <w:rPr>
                <w:rFonts w:ascii="Arial" w:hAnsi="Arial" w:cs="Arial"/>
                <w:sz w:val="22"/>
                <w:szCs w:val="22"/>
              </w:rPr>
            </w:pPr>
            <w:r w:rsidRPr="008E3D9A">
              <w:rPr>
                <w:rFonts w:ascii="Arial" w:hAnsi="Arial" w:cs="Arial"/>
                <w:sz w:val="22"/>
                <w:szCs w:val="22"/>
              </w:rPr>
              <w:t>0.000</w:t>
            </w:r>
          </w:p>
        </w:tc>
      </w:tr>
      <w:tr w:rsidR="00F45AC7" w:rsidRPr="00330F7B" w:rsidTr="00F45AC7">
        <w:tc>
          <w:tcPr>
            <w:tcW w:w="2448" w:type="dxa"/>
          </w:tcPr>
          <w:p w:rsidR="00F45AC7" w:rsidRDefault="00F45AC7" w:rsidP="005804A2">
            <w:pPr>
              <w:pStyle w:val="BodyText"/>
              <w:spacing w:after="0"/>
              <w:rPr>
                <w:rFonts w:ascii="Arial" w:hAnsi="Arial" w:cs="Arial"/>
                <w:iCs/>
                <w:sz w:val="22"/>
                <w:szCs w:val="22"/>
              </w:rPr>
            </w:pPr>
            <w:r>
              <w:rPr>
                <w:rFonts w:ascii="Arial" w:hAnsi="Arial" w:cs="Arial"/>
                <w:iCs/>
                <w:sz w:val="22"/>
                <w:szCs w:val="22"/>
              </w:rPr>
              <w:t>Loans to Joint Ventures</w:t>
            </w:r>
          </w:p>
        </w:tc>
        <w:tc>
          <w:tcPr>
            <w:tcW w:w="1224" w:type="dxa"/>
          </w:tcPr>
          <w:p w:rsidR="00F45AC7" w:rsidRPr="008E3D9A" w:rsidRDefault="007D0828" w:rsidP="007D0828">
            <w:pPr>
              <w:pStyle w:val="BodyText"/>
              <w:spacing w:after="0"/>
              <w:jc w:val="right"/>
              <w:rPr>
                <w:rFonts w:ascii="Arial" w:hAnsi="Arial" w:cs="Arial"/>
                <w:sz w:val="22"/>
                <w:szCs w:val="22"/>
              </w:rPr>
            </w:pPr>
            <w:r>
              <w:rPr>
                <w:rFonts w:ascii="Arial" w:hAnsi="Arial" w:cs="Arial"/>
                <w:sz w:val="22"/>
                <w:szCs w:val="22"/>
              </w:rPr>
              <w:t>5</w:t>
            </w:r>
            <w:r w:rsidR="00F45AC7" w:rsidRPr="008E3D9A">
              <w:rPr>
                <w:rFonts w:ascii="Arial" w:hAnsi="Arial" w:cs="Arial"/>
                <w:sz w:val="22"/>
                <w:szCs w:val="22"/>
              </w:rPr>
              <w:t>.000</w:t>
            </w:r>
          </w:p>
        </w:tc>
        <w:tc>
          <w:tcPr>
            <w:tcW w:w="1224" w:type="dxa"/>
          </w:tcPr>
          <w:p w:rsidR="00F45AC7" w:rsidRPr="008E3D9A" w:rsidRDefault="007D0828" w:rsidP="007D0828">
            <w:pPr>
              <w:pStyle w:val="BodyText"/>
              <w:spacing w:after="0"/>
              <w:jc w:val="right"/>
              <w:rPr>
                <w:rFonts w:ascii="Arial" w:hAnsi="Arial" w:cs="Arial"/>
                <w:sz w:val="22"/>
                <w:szCs w:val="22"/>
              </w:rPr>
            </w:pPr>
            <w:r>
              <w:rPr>
                <w:rFonts w:ascii="Arial" w:hAnsi="Arial" w:cs="Arial"/>
                <w:sz w:val="22"/>
                <w:szCs w:val="22"/>
              </w:rPr>
              <w:t>4</w:t>
            </w:r>
            <w:r w:rsidR="00F45AC7" w:rsidRPr="008E3D9A">
              <w:rPr>
                <w:rFonts w:ascii="Arial" w:hAnsi="Arial" w:cs="Arial"/>
                <w:sz w:val="22"/>
                <w:szCs w:val="22"/>
              </w:rPr>
              <w:t>.000</w:t>
            </w:r>
          </w:p>
        </w:tc>
        <w:tc>
          <w:tcPr>
            <w:tcW w:w="1224" w:type="dxa"/>
          </w:tcPr>
          <w:p w:rsidR="00F45AC7" w:rsidRPr="008E3D9A" w:rsidRDefault="007D0828" w:rsidP="007D0828">
            <w:pPr>
              <w:pStyle w:val="BodyText"/>
              <w:spacing w:after="0"/>
              <w:jc w:val="right"/>
              <w:rPr>
                <w:rFonts w:ascii="Arial" w:hAnsi="Arial" w:cs="Arial"/>
                <w:sz w:val="22"/>
                <w:szCs w:val="22"/>
              </w:rPr>
            </w:pPr>
            <w:r>
              <w:rPr>
                <w:rFonts w:ascii="Arial" w:hAnsi="Arial" w:cs="Arial"/>
                <w:sz w:val="22"/>
                <w:szCs w:val="22"/>
              </w:rPr>
              <w:t>0</w:t>
            </w:r>
            <w:r w:rsidR="00F45AC7" w:rsidRPr="008E3D9A">
              <w:rPr>
                <w:rFonts w:ascii="Arial" w:hAnsi="Arial" w:cs="Arial"/>
                <w:sz w:val="22"/>
                <w:szCs w:val="22"/>
              </w:rPr>
              <w:t>.000</w:t>
            </w:r>
          </w:p>
        </w:tc>
        <w:tc>
          <w:tcPr>
            <w:tcW w:w="1224" w:type="dxa"/>
          </w:tcPr>
          <w:p w:rsidR="00F45AC7" w:rsidRPr="008E3D9A" w:rsidRDefault="008E3D9A" w:rsidP="008E3D9A">
            <w:pPr>
              <w:pStyle w:val="BodyText"/>
              <w:spacing w:after="0"/>
              <w:jc w:val="right"/>
              <w:rPr>
                <w:rFonts w:ascii="Arial" w:hAnsi="Arial" w:cs="Arial"/>
                <w:sz w:val="22"/>
                <w:szCs w:val="22"/>
              </w:rPr>
            </w:pPr>
            <w:r w:rsidRPr="008E3D9A">
              <w:rPr>
                <w:rFonts w:ascii="Arial" w:hAnsi="Arial" w:cs="Arial"/>
                <w:sz w:val="22"/>
                <w:szCs w:val="22"/>
              </w:rPr>
              <w:t>0</w:t>
            </w:r>
            <w:r w:rsidR="00F45AC7" w:rsidRPr="008E3D9A">
              <w:rPr>
                <w:rFonts w:ascii="Arial" w:hAnsi="Arial" w:cs="Arial"/>
                <w:sz w:val="22"/>
                <w:szCs w:val="22"/>
              </w:rPr>
              <w:t>.000</w:t>
            </w:r>
          </w:p>
        </w:tc>
      </w:tr>
      <w:tr w:rsidR="00F45AC7" w:rsidRPr="00330F7B" w:rsidTr="00F45AC7">
        <w:tc>
          <w:tcPr>
            <w:tcW w:w="2448" w:type="dxa"/>
          </w:tcPr>
          <w:p w:rsidR="00F45AC7" w:rsidRPr="00330F7B" w:rsidRDefault="00F45AC7" w:rsidP="005804A2">
            <w:pPr>
              <w:pStyle w:val="BodyText"/>
              <w:spacing w:after="0"/>
              <w:rPr>
                <w:rFonts w:ascii="Arial" w:hAnsi="Arial" w:cs="Arial"/>
                <w:b/>
                <w:iCs/>
                <w:szCs w:val="22"/>
              </w:rPr>
            </w:pPr>
            <w:r w:rsidRPr="00330F7B">
              <w:rPr>
                <w:rFonts w:ascii="Arial" w:hAnsi="Arial" w:cs="Arial"/>
                <w:b/>
                <w:iCs/>
                <w:szCs w:val="22"/>
              </w:rPr>
              <w:t>Total</w:t>
            </w:r>
          </w:p>
        </w:tc>
        <w:tc>
          <w:tcPr>
            <w:tcW w:w="1224" w:type="dxa"/>
          </w:tcPr>
          <w:p w:rsidR="00F45AC7" w:rsidRPr="008E3D9A" w:rsidRDefault="00F45AC7" w:rsidP="007D0828">
            <w:pPr>
              <w:pStyle w:val="BodyText"/>
              <w:spacing w:after="0"/>
              <w:jc w:val="right"/>
              <w:rPr>
                <w:rFonts w:ascii="Arial" w:hAnsi="Arial" w:cs="Arial"/>
                <w:b/>
                <w:szCs w:val="22"/>
              </w:rPr>
            </w:pPr>
            <w:r w:rsidRPr="008E3D9A">
              <w:rPr>
                <w:rFonts w:ascii="Arial" w:hAnsi="Arial" w:cs="Arial"/>
                <w:b/>
                <w:szCs w:val="22"/>
              </w:rPr>
              <w:t>3</w:t>
            </w:r>
            <w:r w:rsidR="007D0828">
              <w:rPr>
                <w:rFonts w:ascii="Arial" w:hAnsi="Arial" w:cs="Arial"/>
                <w:b/>
                <w:szCs w:val="22"/>
              </w:rPr>
              <w:t>8</w:t>
            </w:r>
            <w:r w:rsidRPr="008E3D9A">
              <w:rPr>
                <w:rFonts w:ascii="Arial" w:hAnsi="Arial" w:cs="Arial"/>
                <w:b/>
                <w:szCs w:val="22"/>
              </w:rPr>
              <w:t>.</w:t>
            </w:r>
            <w:r w:rsidR="0014524E" w:rsidRPr="008E3D9A">
              <w:rPr>
                <w:rFonts w:ascii="Arial" w:hAnsi="Arial" w:cs="Arial"/>
                <w:b/>
                <w:szCs w:val="22"/>
              </w:rPr>
              <w:t>427</w:t>
            </w:r>
          </w:p>
        </w:tc>
        <w:tc>
          <w:tcPr>
            <w:tcW w:w="1224" w:type="dxa"/>
          </w:tcPr>
          <w:p w:rsidR="00F45AC7" w:rsidRPr="008E3D9A" w:rsidRDefault="00F45AC7" w:rsidP="007D0828">
            <w:pPr>
              <w:pStyle w:val="BodyText"/>
              <w:spacing w:after="0"/>
              <w:jc w:val="right"/>
              <w:rPr>
                <w:rFonts w:ascii="Arial" w:hAnsi="Arial" w:cs="Arial"/>
                <w:b/>
                <w:szCs w:val="22"/>
              </w:rPr>
            </w:pPr>
            <w:r w:rsidRPr="008E3D9A">
              <w:rPr>
                <w:rFonts w:ascii="Arial" w:hAnsi="Arial" w:cs="Arial"/>
                <w:b/>
                <w:szCs w:val="22"/>
              </w:rPr>
              <w:t>3</w:t>
            </w:r>
            <w:r w:rsidR="007D0828">
              <w:rPr>
                <w:rFonts w:ascii="Arial" w:hAnsi="Arial" w:cs="Arial"/>
                <w:b/>
                <w:szCs w:val="22"/>
              </w:rPr>
              <w:t>4</w:t>
            </w:r>
            <w:r w:rsidRPr="008E3D9A">
              <w:rPr>
                <w:rFonts w:ascii="Arial" w:hAnsi="Arial" w:cs="Arial"/>
                <w:b/>
                <w:szCs w:val="22"/>
              </w:rPr>
              <w:t>.</w:t>
            </w:r>
            <w:r w:rsidR="008E3D9A" w:rsidRPr="008E3D9A">
              <w:rPr>
                <w:rFonts w:ascii="Arial" w:hAnsi="Arial" w:cs="Arial"/>
                <w:b/>
                <w:szCs w:val="22"/>
              </w:rPr>
              <w:t>149</w:t>
            </w:r>
          </w:p>
        </w:tc>
        <w:tc>
          <w:tcPr>
            <w:tcW w:w="1224" w:type="dxa"/>
          </w:tcPr>
          <w:p w:rsidR="00F45AC7" w:rsidRPr="008E3D9A" w:rsidRDefault="007D0828" w:rsidP="007D0828">
            <w:pPr>
              <w:pStyle w:val="BodyText"/>
              <w:spacing w:after="0"/>
              <w:jc w:val="right"/>
              <w:rPr>
                <w:rFonts w:ascii="Arial" w:hAnsi="Arial" w:cs="Arial"/>
                <w:b/>
                <w:szCs w:val="22"/>
              </w:rPr>
            </w:pPr>
            <w:r>
              <w:rPr>
                <w:rFonts w:ascii="Arial" w:hAnsi="Arial" w:cs="Arial"/>
                <w:b/>
                <w:szCs w:val="22"/>
              </w:rPr>
              <w:t>1</w:t>
            </w:r>
            <w:r w:rsidR="008E3D9A" w:rsidRPr="008E3D9A">
              <w:rPr>
                <w:rFonts w:ascii="Arial" w:hAnsi="Arial" w:cs="Arial"/>
                <w:b/>
                <w:szCs w:val="22"/>
              </w:rPr>
              <w:t>5</w:t>
            </w:r>
            <w:r w:rsidR="00F45AC7" w:rsidRPr="008E3D9A">
              <w:rPr>
                <w:rFonts w:ascii="Arial" w:hAnsi="Arial" w:cs="Arial"/>
                <w:b/>
                <w:szCs w:val="22"/>
              </w:rPr>
              <w:t>.</w:t>
            </w:r>
            <w:r w:rsidR="008E3D9A" w:rsidRPr="008E3D9A">
              <w:rPr>
                <w:rFonts w:ascii="Arial" w:hAnsi="Arial" w:cs="Arial"/>
                <w:b/>
                <w:szCs w:val="22"/>
              </w:rPr>
              <w:t>146</w:t>
            </w:r>
          </w:p>
        </w:tc>
        <w:tc>
          <w:tcPr>
            <w:tcW w:w="1224" w:type="dxa"/>
          </w:tcPr>
          <w:p w:rsidR="00F45AC7" w:rsidRPr="008E3D9A" w:rsidRDefault="007D0828" w:rsidP="007D0828">
            <w:pPr>
              <w:pStyle w:val="BodyText"/>
              <w:spacing w:after="0"/>
              <w:jc w:val="right"/>
              <w:rPr>
                <w:rFonts w:ascii="Arial" w:hAnsi="Arial" w:cs="Arial"/>
                <w:b/>
                <w:szCs w:val="22"/>
              </w:rPr>
            </w:pPr>
            <w:r>
              <w:rPr>
                <w:rFonts w:ascii="Arial" w:hAnsi="Arial" w:cs="Arial"/>
                <w:b/>
                <w:szCs w:val="22"/>
              </w:rPr>
              <w:t>1</w:t>
            </w:r>
            <w:r w:rsidR="008E3D9A" w:rsidRPr="008E3D9A">
              <w:rPr>
                <w:rFonts w:ascii="Arial" w:hAnsi="Arial" w:cs="Arial"/>
                <w:b/>
                <w:szCs w:val="22"/>
              </w:rPr>
              <w:t>3</w:t>
            </w:r>
            <w:r w:rsidR="00F45AC7" w:rsidRPr="008E3D9A">
              <w:rPr>
                <w:rFonts w:ascii="Arial" w:hAnsi="Arial" w:cs="Arial"/>
                <w:b/>
                <w:szCs w:val="22"/>
              </w:rPr>
              <w:t>.</w:t>
            </w:r>
            <w:r w:rsidR="008E3D9A" w:rsidRPr="008E3D9A">
              <w:rPr>
                <w:rFonts w:ascii="Arial" w:hAnsi="Arial" w:cs="Arial"/>
                <w:b/>
                <w:szCs w:val="22"/>
              </w:rPr>
              <w:t>133</w:t>
            </w:r>
          </w:p>
        </w:tc>
      </w:tr>
    </w:tbl>
    <w:p w:rsidR="00D465D6" w:rsidRPr="00330F7B" w:rsidRDefault="00D465D6" w:rsidP="005804A2">
      <w:pPr>
        <w:ind w:left="454"/>
        <w:rPr>
          <w:rFonts w:ascii="Arial" w:hAnsi="Arial" w:cs="Arial"/>
          <w:szCs w:val="22"/>
        </w:rPr>
      </w:pPr>
    </w:p>
    <w:p w:rsidR="007A1170" w:rsidRPr="007A1170" w:rsidRDefault="007A1170" w:rsidP="007A1170">
      <w:pPr>
        <w:numPr>
          <w:ilvl w:val="0"/>
          <w:numId w:val="1"/>
        </w:numPr>
        <w:rPr>
          <w:rFonts w:cs="Arial"/>
          <w:sz w:val="22"/>
          <w:szCs w:val="22"/>
        </w:rPr>
      </w:pPr>
      <w:r w:rsidRPr="00FA4A06">
        <w:rPr>
          <w:rFonts w:ascii="Arial" w:hAnsi="Arial" w:cs="Arial"/>
          <w:szCs w:val="22"/>
        </w:rPr>
        <w:t xml:space="preserve">The financing need </w:t>
      </w:r>
      <w:r>
        <w:rPr>
          <w:rFonts w:ascii="Arial" w:hAnsi="Arial" w:cs="Arial"/>
          <w:szCs w:val="22"/>
        </w:rPr>
        <w:t>above</w:t>
      </w:r>
      <w:r w:rsidRPr="00FA4A06">
        <w:rPr>
          <w:rFonts w:ascii="Arial" w:hAnsi="Arial" w:cs="Arial"/>
          <w:szCs w:val="22"/>
        </w:rPr>
        <w:t xml:space="preserve"> excludes other long term liabilities, such as PFI and leasing arrangements which already include borrowing instruments.</w:t>
      </w:r>
    </w:p>
    <w:p w:rsidR="007A1170" w:rsidRPr="00FA4A06" w:rsidRDefault="007A1170" w:rsidP="007A1170">
      <w:pPr>
        <w:ind w:left="567"/>
        <w:rPr>
          <w:rFonts w:cs="Arial"/>
          <w:sz w:val="22"/>
          <w:szCs w:val="22"/>
        </w:rPr>
      </w:pPr>
    </w:p>
    <w:p w:rsidR="00330F7B" w:rsidRDefault="00330F7B" w:rsidP="005804A2">
      <w:pPr>
        <w:numPr>
          <w:ilvl w:val="0"/>
          <w:numId w:val="1"/>
        </w:numPr>
        <w:tabs>
          <w:tab w:val="num" w:pos="0"/>
        </w:tabs>
        <w:rPr>
          <w:rFonts w:ascii="Arial" w:hAnsi="Arial" w:cs="Arial"/>
          <w:szCs w:val="24"/>
        </w:rPr>
      </w:pPr>
      <w:r w:rsidRPr="001D6B36">
        <w:rPr>
          <w:rFonts w:ascii="Arial" w:hAnsi="Arial" w:cs="Arial"/>
          <w:szCs w:val="24"/>
        </w:rPr>
        <w:t xml:space="preserve">The table below summarises the above capital expenditure plans and how these plans are being financed by capital or revenue resources.  Any shortfall of resources results in a financing need (borrowing). </w:t>
      </w:r>
    </w:p>
    <w:p w:rsidR="007A1170" w:rsidRDefault="007A1170" w:rsidP="007A1170">
      <w:pPr>
        <w:ind w:left="567"/>
        <w:rPr>
          <w:rFonts w:ascii="Arial" w:hAnsi="Arial" w:cs="Arial"/>
          <w:szCs w:val="24"/>
        </w:rPr>
      </w:pPr>
    </w:p>
    <w:p w:rsidR="00330F7B" w:rsidRDefault="00330F7B" w:rsidP="005804A2">
      <w:pPr>
        <w:rPr>
          <w:rFonts w:ascii="Arial" w:hAnsi="Arial" w:cs="Arial"/>
          <w:b/>
        </w:rPr>
      </w:pPr>
      <w:r w:rsidRPr="00330F7B">
        <w:rPr>
          <w:rFonts w:ascii="Arial" w:hAnsi="Arial" w:cs="Arial"/>
          <w:b/>
        </w:rPr>
        <w:t>Table 4 Financing of the Capital Programme</w:t>
      </w:r>
    </w:p>
    <w:p w:rsidR="007A1170" w:rsidRDefault="007A1170" w:rsidP="005804A2">
      <w:pPr>
        <w:rPr>
          <w:rFonts w:ascii="Arial" w:hAnsi="Arial" w:cs="Arial"/>
          <w:b/>
        </w:rPr>
      </w:pPr>
    </w:p>
    <w:tbl>
      <w:tblPr>
        <w:tblW w:w="734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76"/>
        <w:gridCol w:w="1134"/>
        <w:gridCol w:w="1134"/>
        <w:gridCol w:w="1140"/>
      </w:tblGrid>
      <w:tr w:rsidR="00F45AC7" w:rsidRPr="00330F7B" w:rsidTr="00F45AC7">
        <w:tc>
          <w:tcPr>
            <w:tcW w:w="2660" w:type="dxa"/>
            <w:shd w:val="clear" w:color="auto" w:fill="D9D9D9"/>
          </w:tcPr>
          <w:p w:rsidR="00F45AC7" w:rsidRPr="00330F7B" w:rsidRDefault="00F45AC7" w:rsidP="005804A2">
            <w:pPr>
              <w:pStyle w:val="BodyText"/>
              <w:spacing w:after="0"/>
              <w:rPr>
                <w:rFonts w:ascii="Arial" w:hAnsi="Arial" w:cs="Arial"/>
                <w:sz w:val="22"/>
                <w:szCs w:val="22"/>
              </w:rPr>
            </w:pPr>
          </w:p>
        </w:tc>
        <w:tc>
          <w:tcPr>
            <w:tcW w:w="1276" w:type="dxa"/>
            <w:shd w:val="clear" w:color="auto" w:fill="D9D9D9"/>
          </w:tcPr>
          <w:p w:rsidR="00F45AC7" w:rsidRPr="00330F7B" w:rsidRDefault="00F45AC7" w:rsidP="000C1EE0">
            <w:pPr>
              <w:pStyle w:val="BodyText"/>
              <w:spacing w:after="0"/>
              <w:jc w:val="center"/>
              <w:rPr>
                <w:rFonts w:ascii="Arial" w:hAnsi="Arial" w:cs="Arial"/>
                <w:b/>
                <w:bCs/>
                <w:sz w:val="22"/>
                <w:szCs w:val="22"/>
              </w:rPr>
            </w:pPr>
            <w:r>
              <w:rPr>
                <w:rFonts w:ascii="Arial" w:hAnsi="Arial" w:cs="Arial"/>
                <w:b/>
                <w:bCs/>
                <w:sz w:val="22"/>
                <w:szCs w:val="22"/>
              </w:rPr>
              <w:t>201</w:t>
            </w:r>
            <w:r w:rsidR="007A1170">
              <w:rPr>
                <w:rFonts w:ascii="Arial" w:hAnsi="Arial" w:cs="Arial"/>
                <w:b/>
                <w:bCs/>
                <w:sz w:val="22"/>
                <w:szCs w:val="22"/>
              </w:rPr>
              <w:t>8</w:t>
            </w:r>
            <w:r>
              <w:rPr>
                <w:rFonts w:ascii="Arial" w:hAnsi="Arial" w:cs="Arial"/>
                <w:b/>
                <w:bCs/>
                <w:sz w:val="22"/>
                <w:szCs w:val="22"/>
              </w:rPr>
              <w:t>/1</w:t>
            </w:r>
            <w:r w:rsidR="007A1170">
              <w:rPr>
                <w:rFonts w:ascii="Arial" w:hAnsi="Arial" w:cs="Arial"/>
                <w:b/>
                <w:bCs/>
                <w:sz w:val="22"/>
                <w:szCs w:val="22"/>
              </w:rPr>
              <w:t>9</w:t>
            </w:r>
          </w:p>
          <w:p w:rsidR="00F45AC7" w:rsidRDefault="00F45AC7" w:rsidP="000C1EE0">
            <w:pPr>
              <w:pStyle w:val="BodyText"/>
              <w:spacing w:after="0"/>
              <w:jc w:val="center"/>
              <w:rPr>
                <w:rFonts w:ascii="Arial" w:hAnsi="Arial" w:cs="Arial"/>
                <w:b/>
                <w:bCs/>
                <w:sz w:val="22"/>
                <w:szCs w:val="22"/>
              </w:rPr>
            </w:pPr>
            <w:r>
              <w:rPr>
                <w:rFonts w:ascii="Arial" w:hAnsi="Arial" w:cs="Arial"/>
                <w:b/>
                <w:bCs/>
                <w:sz w:val="22"/>
                <w:szCs w:val="22"/>
              </w:rPr>
              <w:t>Revised</w:t>
            </w:r>
          </w:p>
          <w:p w:rsidR="00F45AC7" w:rsidRPr="00330F7B" w:rsidRDefault="00F45AC7" w:rsidP="000C1EE0">
            <w:pPr>
              <w:pStyle w:val="BodyText"/>
              <w:spacing w:after="0"/>
              <w:jc w:val="center"/>
              <w:rPr>
                <w:rFonts w:ascii="Arial" w:hAnsi="Arial" w:cs="Arial"/>
                <w:b/>
                <w:bCs/>
                <w:sz w:val="22"/>
                <w:szCs w:val="22"/>
              </w:rPr>
            </w:pPr>
            <w:r>
              <w:rPr>
                <w:rFonts w:ascii="Arial" w:hAnsi="Arial" w:cs="Arial"/>
                <w:b/>
                <w:bCs/>
                <w:sz w:val="22"/>
                <w:szCs w:val="22"/>
              </w:rPr>
              <w:t>£</w:t>
            </w:r>
            <w:r w:rsidR="007A1170">
              <w:rPr>
                <w:rFonts w:ascii="Arial" w:hAnsi="Arial" w:cs="Arial"/>
                <w:b/>
                <w:bCs/>
                <w:sz w:val="22"/>
                <w:szCs w:val="22"/>
              </w:rPr>
              <w:t>m</w:t>
            </w:r>
          </w:p>
        </w:tc>
        <w:tc>
          <w:tcPr>
            <w:tcW w:w="1134" w:type="dxa"/>
            <w:shd w:val="clear" w:color="auto" w:fill="D9D9D9"/>
          </w:tcPr>
          <w:p w:rsidR="00F45AC7" w:rsidRPr="00330F7B" w:rsidRDefault="00F45AC7" w:rsidP="000C1EE0">
            <w:pPr>
              <w:pStyle w:val="BodyText"/>
              <w:spacing w:after="0"/>
              <w:jc w:val="center"/>
              <w:rPr>
                <w:rFonts w:ascii="Arial" w:hAnsi="Arial" w:cs="Arial"/>
                <w:b/>
                <w:bCs/>
                <w:sz w:val="22"/>
                <w:szCs w:val="22"/>
              </w:rPr>
            </w:pPr>
            <w:r>
              <w:rPr>
                <w:rFonts w:ascii="Arial" w:hAnsi="Arial" w:cs="Arial"/>
                <w:b/>
                <w:bCs/>
                <w:sz w:val="22"/>
                <w:szCs w:val="22"/>
              </w:rPr>
              <w:t>201</w:t>
            </w:r>
            <w:r w:rsidR="007A1170">
              <w:rPr>
                <w:rFonts w:ascii="Arial" w:hAnsi="Arial" w:cs="Arial"/>
                <w:b/>
                <w:bCs/>
                <w:sz w:val="22"/>
                <w:szCs w:val="22"/>
              </w:rPr>
              <w:t>9</w:t>
            </w:r>
            <w:r>
              <w:rPr>
                <w:rFonts w:ascii="Arial" w:hAnsi="Arial" w:cs="Arial"/>
                <w:b/>
                <w:bCs/>
                <w:sz w:val="22"/>
                <w:szCs w:val="22"/>
              </w:rPr>
              <w:t>/</w:t>
            </w:r>
            <w:r w:rsidR="007A1170">
              <w:rPr>
                <w:rFonts w:ascii="Arial" w:hAnsi="Arial" w:cs="Arial"/>
                <w:b/>
                <w:bCs/>
                <w:sz w:val="22"/>
                <w:szCs w:val="22"/>
              </w:rPr>
              <w:t>20</w:t>
            </w:r>
          </w:p>
          <w:p w:rsidR="00F45AC7" w:rsidRPr="00330F7B" w:rsidRDefault="00F45AC7" w:rsidP="000C1EE0">
            <w:pPr>
              <w:pStyle w:val="BodyText"/>
              <w:spacing w:after="0"/>
              <w:jc w:val="center"/>
              <w:rPr>
                <w:rFonts w:ascii="Arial" w:hAnsi="Arial" w:cs="Arial"/>
                <w:b/>
                <w:bCs/>
                <w:sz w:val="22"/>
                <w:szCs w:val="22"/>
              </w:rPr>
            </w:pPr>
            <w:r>
              <w:rPr>
                <w:rFonts w:ascii="Arial" w:hAnsi="Arial" w:cs="Arial"/>
                <w:b/>
                <w:bCs/>
                <w:sz w:val="22"/>
                <w:szCs w:val="22"/>
              </w:rPr>
              <w:t>Estimate £</w:t>
            </w:r>
            <w:r w:rsidR="007A1170">
              <w:rPr>
                <w:rFonts w:ascii="Arial" w:hAnsi="Arial" w:cs="Arial"/>
                <w:b/>
                <w:bCs/>
                <w:sz w:val="22"/>
                <w:szCs w:val="22"/>
              </w:rPr>
              <w:t>m</w:t>
            </w:r>
          </w:p>
        </w:tc>
        <w:tc>
          <w:tcPr>
            <w:tcW w:w="1134" w:type="dxa"/>
            <w:shd w:val="clear" w:color="auto" w:fill="D9D9D9"/>
          </w:tcPr>
          <w:p w:rsidR="00F45AC7" w:rsidRDefault="00F45AC7" w:rsidP="007A1170">
            <w:pPr>
              <w:pStyle w:val="BodyText"/>
              <w:spacing w:after="0"/>
              <w:jc w:val="center"/>
              <w:rPr>
                <w:rFonts w:ascii="Arial" w:hAnsi="Arial" w:cs="Arial"/>
                <w:b/>
                <w:bCs/>
                <w:sz w:val="22"/>
                <w:szCs w:val="22"/>
              </w:rPr>
            </w:pPr>
            <w:r>
              <w:rPr>
                <w:rFonts w:ascii="Arial" w:hAnsi="Arial" w:cs="Arial"/>
                <w:b/>
                <w:bCs/>
                <w:sz w:val="22"/>
                <w:szCs w:val="22"/>
              </w:rPr>
              <w:t>20</w:t>
            </w:r>
            <w:r w:rsidR="007A1170">
              <w:rPr>
                <w:rFonts w:ascii="Arial" w:hAnsi="Arial" w:cs="Arial"/>
                <w:b/>
                <w:bCs/>
                <w:sz w:val="22"/>
                <w:szCs w:val="22"/>
              </w:rPr>
              <w:t>20</w:t>
            </w:r>
            <w:r>
              <w:rPr>
                <w:rFonts w:ascii="Arial" w:hAnsi="Arial" w:cs="Arial"/>
                <w:b/>
                <w:bCs/>
                <w:sz w:val="22"/>
                <w:szCs w:val="22"/>
              </w:rPr>
              <w:t>/2</w:t>
            </w:r>
            <w:r w:rsidR="007A1170">
              <w:rPr>
                <w:rFonts w:ascii="Arial" w:hAnsi="Arial" w:cs="Arial"/>
                <w:b/>
                <w:bCs/>
                <w:sz w:val="22"/>
                <w:szCs w:val="22"/>
              </w:rPr>
              <w:t>1</w:t>
            </w:r>
          </w:p>
          <w:p w:rsidR="00F45AC7" w:rsidRPr="00330F7B" w:rsidRDefault="00F45AC7" w:rsidP="000C1EE0">
            <w:pPr>
              <w:pStyle w:val="BodyText"/>
              <w:spacing w:after="0"/>
              <w:jc w:val="center"/>
              <w:rPr>
                <w:rFonts w:ascii="Arial" w:hAnsi="Arial" w:cs="Arial"/>
                <w:b/>
                <w:bCs/>
                <w:sz w:val="22"/>
                <w:szCs w:val="22"/>
              </w:rPr>
            </w:pPr>
            <w:r>
              <w:rPr>
                <w:rFonts w:ascii="Arial" w:hAnsi="Arial" w:cs="Arial"/>
                <w:b/>
                <w:bCs/>
                <w:sz w:val="22"/>
                <w:szCs w:val="22"/>
              </w:rPr>
              <w:t>Estimate £</w:t>
            </w:r>
            <w:r w:rsidR="007A1170">
              <w:rPr>
                <w:rFonts w:ascii="Arial" w:hAnsi="Arial" w:cs="Arial"/>
                <w:b/>
                <w:bCs/>
                <w:sz w:val="22"/>
                <w:szCs w:val="22"/>
              </w:rPr>
              <w:t>m</w:t>
            </w:r>
          </w:p>
        </w:tc>
        <w:tc>
          <w:tcPr>
            <w:tcW w:w="1140" w:type="dxa"/>
            <w:shd w:val="clear" w:color="auto" w:fill="D9D9D9"/>
          </w:tcPr>
          <w:p w:rsidR="00F45AC7" w:rsidRDefault="00F45AC7" w:rsidP="000C1EE0">
            <w:pPr>
              <w:pStyle w:val="BodyText"/>
              <w:spacing w:after="0"/>
              <w:jc w:val="center"/>
              <w:rPr>
                <w:rFonts w:ascii="Arial" w:hAnsi="Arial" w:cs="Arial"/>
                <w:b/>
                <w:bCs/>
                <w:sz w:val="22"/>
                <w:szCs w:val="22"/>
              </w:rPr>
            </w:pPr>
            <w:r>
              <w:rPr>
                <w:rFonts w:ascii="Arial" w:hAnsi="Arial" w:cs="Arial"/>
                <w:b/>
                <w:bCs/>
                <w:sz w:val="22"/>
                <w:szCs w:val="22"/>
              </w:rPr>
              <w:t>202</w:t>
            </w:r>
            <w:r w:rsidR="007A1170">
              <w:rPr>
                <w:rFonts w:ascii="Arial" w:hAnsi="Arial" w:cs="Arial"/>
                <w:b/>
                <w:bCs/>
                <w:sz w:val="22"/>
                <w:szCs w:val="22"/>
              </w:rPr>
              <w:t>1</w:t>
            </w:r>
            <w:r>
              <w:rPr>
                <w:rFonts w:ascii="Arial" w:hAnsi="Arial" w:cs="Arial"/>
                <w:b/>
                <w:bCs/>
                <w:sz w:val="22"/>
                <w:szCs w:val="22"/>
              </w:rPr>
              <w:t>/2</w:t>
            </w:r>
            <w:r w:rsidR="007A1170">
              <w:rPr>
                <w:rFonts w:ascii="Arial" w:hAnsi="Arial" w:cs="Arial"/>
                <w:b/>
                <w:bCs/>
                <w:sz w:val="22"/>
                <w:szCs w:val="22"/>
              </w:rPr>
              <w:t>2</w:t>
            </w:r>
          </w:p>
          <w:p w:rsidR="00F45AC7" w:rsidRPr="00330F7B" w:rsidRDefault="00F45AC7" w:rsidP="000C1EE0">
            <w:pPr>
              <w:pStyle w:val="BodyText"/>
              <w:spacing w:after="0"/>
              <w:jc w:val="center"/>
              <w:rPr>
                <w:rFonts w:ascii="Arial" w:hAnsi="Arial" w:cs="Arial"/>
                <w:b/>
                <w:bCs/>
                <w:sz w:val="22"/>
                <w:szCs w:val="22"/>
              </w:rPr>
            </w:pPr>
            <w:r>
              <w:rPr>
                <w:rFonts w:ascii="Arial" w:hAnsi="Arial" w:cs="Arial"/>
                <w:b/>
                <w:bCs/>
                <w:sz w:val="22"/>
                <w:szCs w:val="22"/>
              </w:rPr>
              <w:t>Estimate £</w:t>
            </w:r>
            <w:r w:rsidR="007A1170">
              <w:rPr>
                <w:rFonts w:ascii="Arial" w:hAnsi="Arial" w:cs="Arial"/>
                <w:b/>
                <w:bCs/>
                <w:sz w:val="22"/>
                <w:szCs w:val="22"/>
              </w:rPr>
              <w:t>m</w:t>
            </w:r>
          </w:p>
        </w:tc>
      </w:tr>
      <w:tr w:rsidR="00F45AC7" w:rsidRPr="00330F7B" w:rsidTr="00F45AC7">
        <w:tc>
          <w:tcPr>
            <w:tcW w:w="2660" w:type="dxa"/>
          </w:tcPr>
          <w:p w:rsidR="00F45AC7" w:rsidRPr="00330F7B" w:rsidRDefault="00F45AC7" w:rsidP="005804A2">
            <w:pPr>
              <w:pStyle w:val="BodyText"/>
              <w:spacing w:after="0"/>
              <w:rPr>
                <w:rFonts w:ascii="Arial" w:hAnsi="Arial" w:cs="Arial"/>
                <w:iCs/>
                <w:sz w:val="22"/>
                <w:szCs w:val="22"/>
              </w:rPr>
            </w:pPr>
            <w:r w:rsidRPr="00330F7B">
              <w:rPr>
                <w:rFonts w:ascii="Arial" w:hAnsi="Arial" w:cs="Arial"/>
                <w:iCs/>
                <w:sz w:val="22"/>
                <w:szCs w:val="22"/>
              </w:rPr>
              <w:t>General Fund</w:t>
            </w:r>
          </w:p>
        </w:tc>
        <w:tc>
          <w:tcPr>
            <w:tcW w:w="1276" w:type="dxa"/>
          </w:tcPr>
          <w:p w:rsidR="00F45AC7" w:rsidRPr="008E3D9A" w:rsidRDefault="008E3D9A" w:rsidP="008E3D9A">
            <w:pPr>
              <w:pStyle w:val="BodyText"/>
              <w:spacing w:after="0"/>
              <w:jc w:val="right"/>
              <w:rPr>
                <w:rFonts w:ascii="Arial" w:hAnsi="Arial" w:cs="Arial"/>
                <w:sz w:val="22"/>
                <w:szCs w:val="22"/>
              </w:rPr>
            </w:pPr>
            <w:r w:rsidRPr="008E3D9A">
              <w:rPr>
                <w:rFonts w:ascii="Arial" w:hAnsi="Arial" w:cs="Arial"/>
                <w:sz w:val="22"/>
                <w:szCs w:val="22"/>
              </w:rPr>
              <w:t>15.746</w:t>
            </w:r>
          </w:p>
        </w:tc>
        <w:tc>
          <w:tcPr>
            <w:tcW w:w="1134" w:type="dxa"/>
          </w:tcPr>
          <w:p w:rsidR="00F45AC7" w:rsidRPr="008E3D9A" w:rsidRDefault="008E3D9A" w:rsidP="008E3D9A">
            <w:pPr>
              <w:pStyle w:val="BodyText"/>
              <w:spacing w:after="0"/>
              <w:jc w:val="right"/>
              <w:rPr>
                <w:rFonts w:ascii="Arial" w:hAnsi="Arial" w:cs="Arial"/>
                <w:sz w:val="22"/>
                <w:szCs w:val="22"/>
              </w:rPr>
            </w:pPr>
            <w:r w:rsidRPr="008E3D9A">
              <w:rPr>
                <w:rFonts w:ascii="Arial" w:hAnsi="Arial" w:cs="Arial"/>
                <w:sz w:val="22"/>
                <w:szCs w:val="22"/>
              </w:rPr>
              <w:t>7.615</w:t>
            </w:r>
          </w:p>
        </w:tc>
        <w:tc>
          <w:tcPr>
            <w:tcW w:w="1134" w:type="dxa"/>
          </w:tcPr>
          <w:p w:rsidR="00F45AC7" w:rsidRPr="008E3D9A" w:rsidRDefault="008E3D9A" w:rsidP="008E3D9A">
            <w:pPr>
              <w:pStyle w:val="BodyText"/>
              <w:spacing w:after="0"/>
              <w:jc w:val="right"/>
              <w:rPr>
                <w:rFonts w:ascii="Arial" w:hAnsi="Arial" w:cs="Arial"/>
                <w:sz w:val="22"/>
                <w:szCs w:val="22"/>
              </w:rPr>
            </w:pPr>
            <w:r w:rsidRPr="008E3D9A">
              <w:rPr>
                <w:rFonts w:ascii="Arial" w:hAnsi="Arial" w:cs="Arial"/>
                <w:sz w:val="22"/>
                <w:szCs w:val="22"/>
              </w:rPr>
              <w:t>5</w:t>
            </w:r>
            <w:r w:rsidR="00F45AC7" w:rsidRPr="008E3D9A">
              <w:rPr>
                <w:rFonts w:ascii="Arial" w:hAnsi="Arial" w:cs="Arial"/>
                <w:sz w:val="22"/>
                <w:szCs w:val="22"/>
              </w:rPr>
              <w:t>.5</w:t>
            </w:r>
            <w:r w:rsidRPr="008E3D9A">
              <w:rPr>
                <w:rFonts w:ascii="Arial" w:hAnsi="Arial" w:cs="Arial"/>
                <w:sz w:val="22"/>
                <w:szCs w:val="22"/>
              </w:rPr>
              <w:t>12</w:t>
            </w:r>
          </w:p>
        </w:tc>
        <w:tc>
          <w:tcPr>
            <w:tcW w:w="1140" w:type="dxa"/>
          </w:tcPr>
          <w:p w:rsidR="00F45AC7" w:rsidRPr="008E3D9A" w:rsidRDefault="008E3D9A" w:rsidP="008E3D9A">
            <w:pPr>
              <w:pStyle w:val="BodyText"/>
              <w:spacing w:after="0"/>
              <w:jc w:val="right"/>
              <w:rPr>
                <w:rFonts w:ascii="Arial" w:hAnsi="Arial" w:cs="Arial"/>
                <w:sz w:val="22"/>
                <w:szCs w:val="22"/>
              </w:rPr>
            </w:pPr>
            <w:r w:rsidRPr="008E3D9A">
              <w:rPr>
                <w:rFonts w:ascii="Arial" w:hAnsi="Arial" w:cs="Arial"/>
                <w:sz w:val="22"/>
                <w:szCs w:val="22"/>
              </w:rPr>
              <w:t>3</w:t>
            </w:r>
            <w:r w:rsidR="00F45AC7" w:rsidRPr="008E3D9A">
              <w:rPr>
                <w:rFonts w:ascii="Arial" w:hAnsi="Arial" w:cs="Arial"/>
                <w:sz w:val="22"/>
                <w:szCs w:val="22"/>
              </w:rPr>
              <w:t>.</w:t>
            </w:r>
            <w:r w:rsidRPr="008E3D9A">
              <w:rPr>
                <w:rFonts w:ascii="Arial" w:hAnsi="Arial" w:cs="Arial"/>
                <w:sz w:val="22"/>
                <w:szCs w:val="22"/>
              </w:rPr>
              <w:t>999</w:t>
            </w:r>
          </w:p>
        </w:tc>
      </w:tr>
      <w:tr w:rsidR="00F45AC7" w:rsidRPr="00330F7B" w:rsidTr="00F45AC7">
        <w:tc>
          <w:tcPr>
            <w:tcW w:w="2660" w:type="dxa"/>
          </w:tcPr>
          <w:p w:rsidR="00F45AC7" w:rsidRPr="00330F7B" w:rsidRDefault="00F45AC7" w:rsidP="005804A2">
            <w:pPr>
              <w:pStyle w:val="BodyText"/>
              <w:spacing w:after="0"/>
              <w:rPr>
                <w:rFonts w:ascii="Arial" w:hAnsi="Arial" w:cs="Arial"/>
                <w:iCs/>
                <w:sz w:val="22"/>
                <w:szCs w:val="22"/>
              </w:rPr>
            </w:pPr>
            <w:r>
              <w:rPr>
                <w:rFonts w:ascii="Arial" w:hAnsi="Arial" w:cs="Arial"/>
                <w:iCs/>
                <w:sz w:val="22"/>
                <w:szCs w:val="22"/>
              </w:rPr>
              <w:t>HRA</w:t>
            </w:r>
          </w:p>
        </w:tc>
        <w:tc>
          <w:tcPr>
            <w:tcW w:w="1276" w:type="dxa"/>
          </w:tcPr>
          <w:p w:rsidR="00F45AC7" w:rsidRPr="008E3D9A" w:rsidRDefault="00FA4A06" w:rsidP="008E3D9A">
            <w:pPr>
              <w:pStyle w:val="BodyText"/>
              <w:spacing w:after="0"/>
              <w:jc w:val="right"/>
              <w:rPr>
                <w:rFonts w:ascii="Arial" w:hAnsi="Arial" w:cs="Arial"/>
                <w:sz w:val="22"/>
                <w:szCs w:val="22"/>
              </w:rPr>
            </w:pPr>
            <w:r w:rsidRPr="008E3D9A">
              <w:rPr>
                <w:rFonts w:ascii="Arial" w:hAnsi="Arial" w:cs="Arial"/>
                <w:sz w:val="22"/>
                <w:szCs w:val="22"/>
              </w:rPr>
              <w:t>17.</w:t>
            </w:r>
            <w:r w:rsidR="008E3D9A" w:rsidRPr="008E3D9A">
              <w:rPr>
                <w:rFonts w:ascii="Arial" w:hAnsi="Arial" w:cs="Arial"/>
                <w:sz w:val="22"/>
                <w:szCs w:val="22"/>
              </w:rPr>
              <w:t>681</w:t>
            </w:r>
          </w:p>
        </w:tc>
        <w:tc>
          <w:tcPr>
            <w:tcW w:w="1134" w:type="dxa"/>
          </w:tcPr>
          <w:p w:rsidR="00F45AC7" w:rsidRPr="008E3D9A" w:rsidRDefault="008E3D9A" w:rsidP="008E3D9A">
            <w:pPr>
              <w:pStyle w:val="BodyText"/>
              <w:spacing w:after="0"/>
              <w:jc w:val="right"/>
              <w:rPr>
                <w:rFonts w:ascii="Arial" w:hAnsi="Arial" w:cs="Arial"/>
                <w:sz w:val="22"/>
                <w:szCs w:val="22"/>
              </w:rPr>
            </w:pPr>
            <w:r w:rsidRPr="008E3D9A">
              <w:rPr>
                <w:rFonts w:ascii="Arial" w:hAnsi="Arial" w:cs="Arial"/>
                <w:sz w:val="22"/>
                <w:szCs w:val="22"/>
              </w:rPr>
              <w:t>22</w:t>
            </w:r>
            <w:r w:rsidR="00F45AC7" w:rsidRPr="008E3D9A">
              <w:rPr>
                <w:rFonts w:ascii="Arial" w:hAnsi="Arial" w:cs="Arial"/>
                <w:sz w:val="22"/>
                <w:szCs w:val="22"/>
              </w:rPr>
              <w:t>.</w:t>
            </w:r>
            <w:r w:rsidRPr="008E3D9A">
              <w:rPr>
                <w:rFonts w:ascii="Arial" w:hAnsi="Arial" w:cs="Arial"/>
                <w:sz w:val="22"/>
                <w:szCs w:val="22"/>
              </w:rPr>
              <w:t>534</w:t>
            </w:r>
          </w:p>
        </w:tc>
        <w:tc>
          <w:tcPr>
            <w:tcW w:w="1134" w:type="dxa"/>
          </w:tcPr>
          <w:p w:rsidR="00F45AC7" w:rsidRPr="008E3D9A" w:rsidRDefault="008E3D9A" w:rsidP="008E3D9A">
            <w:pPr>
              <w:pStyle w:val="BodyText"/>
              <w:spacing w:after="0"/>
              <w:jc w:val="right"/>
              <w:rPr>
                <w:rFonts w:ascii="Arial" w:hAnsi="Arial" w:cs="Arial"/>
                <w:sz w:val="22"/>
                <w:szCs w:val="22"/>
              </w:rPr>
            </w:pPr>
            <w:r w:rsidRPr="008E3D9A">
              <w:rPr>
                <w:rFonts w:ascii="Arial" w:hAnsi="Arial" w:cs="Arial"/>
                <w:sz w:val="22"/>
                <w:szCs w:val="22"/>
              </w:rPr>
              <w:t>9.634</w:t>
            </w:r>
          </w:p>
        </w:tc>
        <w:tc>
          <w:tcPr>
            <w:tcW w:w="1140" w:type="dxa"/>
          </w:tcPr>
          <w:p w:rsidR="00F45AC7" w:rsidRPr="008E3D9A" w:rsidRDefault="008E3D9A" w:rsidP="008E3D9A">
            <w:pPr>
              <w:pStyle w:val="BodyText"/>
              <w:spacing w:after="0"/>
              <w:jc w:val="right"/>
              <w:rPr>
                <w:rFonts w:ascii="Arial" w:hAnsi="Arial" w:cs="Arial"/>
                <w:sz w:val="22"/>
                <w:szCs w:val="22"/>
              </w:rPr>
            </w:pPr>
            <w:r w:rsidRPr="008E3D9A">
              <w:rPr>
                <w:rFonts w:ascii="Arial" w:hAnsi="Arial" w:cs="Arial"/>
                <w:sz w:val="22"/>
                <w:szCs w:val="22"/>
              </w:rPr>
              <w:t>9.134</w:t>
            </w:r>
          </w:p>
        </w:tc>
      </w:tr>
      <w:tr w:rsidR="00F45AC7" w:rsidRPr="00330F7B" w:rsidTr="00F45AC7">
        <w:tc>
          <w:tcPr>
            <w:tcW w:w="2660" w:type="dxa"/>
          </w:tcPr>
          <w:p w:rsidR="00F45AC7" w:rsidRPr="006913F9" w:rsidRDefault="00F45AC7" w:rsidP="005804A2">
            <w:pPr>
              <w:pStyle w:val="BodyText"/>
              <w:spacing w:after="0"/>
              <w:rPr>
                <w:rFonts w:ascii="Arial" w:hAnsi="Arial" w:cs="Arial"/>
                <w:iCs/>
                <w:sz w:val="22"/>
                <w:szCs w:val="22"/>
              </w:rPr>
            </w:pPr>
            <w:r w:rsidRPr="006913F9">
              <w:rPr>
                <w:rFonts w:ascii="Arial" w:hAnsi="Arial" w:cs="Arial"/>
                <w:iCs/>
                <w:sz w:val="22"/>
                <w:szCs w:val="22"/>
              </w:rPr>
              <w:t>Loans to RSL’s</w:t>
            </w:r>
          </w:p>
        </w:tc>
        <w:tc>
          <w:tcPr>
            <w:tcW w:w="1276" w:type="dxa"/>
          </w:tcPr>
          <w:p w:rsidR="00F45AC7" w:rsidRPr="008E3D9A" w:rsidRDefault="00FA4A06" w:rsidP="005804A2">
            <w:pPr>
              <w:pStyle w:val="BodyText"/>
              <w:spacing w:after="0"/>
              <w:jc w:val="right"/>
              <w:rPr>
                <w:rFonts w:ascii="Arial" w:hAnsi="Arial" w:cs="Arial"/>
                <w:sz w:val="22"/>
                <w:szCs w:val="22"/>
              </w:rPr>
            </w:pPr>
            <w:r w:rsidRPr="008E3D9A">
              <w:rPr>
                <w:rFonts w:ascii="Arial" w:hAnsi="Arial" w:cs="Arial"/>
                <w:sz w:val="22"/>
                <w:szCs w:val="22"/>
              </w:rPr>
              <w:t>0.000</w:t>
            </w:r>
          </w:p>
        </w:tc>
        <w:tc>
          <w:tcPr>
            <w:tcW w:w="1134" w:type="dxa"/>
          </w:tcPr>
          <w:p w:rsidR="00F45AC7" w:rsidRPr="007D0828" w:rsidRDefault="007D0828" w:rsidP="005804A2">
            <w:pPr>
              <w:pStyle w:val="BodyText"/>
              <w:spacing w:after="0"/>
              <w:jc w:val="right"/>
              <w:rPr>
                <w:rFonts w:ascii="Arial" w:hAnsi="Arial" w:cs="Arial"/>
                <w:sz w:val="22"/>
                <w:szCs w:val="22"/>
              </w:rPr>
            </w:pPr>
            <w:r w:rsidRPr="007D0828">
              <w:rPr>
                <w:rFonts w:ascii="Arial" w:hAnsi="Arial" w:cs="Arial"/>
                <w:sz w:val="22"/>
                <w:szCs w:val="22"/>
              </w:rPr>
              <w:t>0.000</w:t>
            </w:r>
          </w:p>
        </w:tc>
        <w:tc>
          <w:tcPr>
            <w:tcW w:w="1134" w:type="dxa"/>
          </w:tcPr>
          <w:p w:rsidR="00F45AC7" w:rsidRPr="007D0828" w:rsidRDefault="007D0828" w:rsidP="005804A2">
            <w:pPr>
              <w:pStyle w:val="BodyText"/>
              <w:spacing w:after="0"/>
              <w:jc w:val="right"/>
              <w:rPr>
                <w:rFonts w:ascii="Arial" w:hAnsi="Arial" w:cs="Arial"/>
                <w:sz w:val="22"/>
                <w:szCs w:val="22"/>
              </w:rPr>
            </w:pPr>
            <w:r w:rsidRPr="007D0828">
              <w:rPr>
                <w:rFonts w:ascii="Arial" w:hAnsi="Arial" w:cs="Arial"/>
                <w:sz w:val="22"/>
                <w:szCs w:val="22"/>
              </w:rPr>
              <w:t>0.000</w:t>
            </w:r>
          </w:p>
        </w:tc>
        <w:tc>
          <w:tcPr>
            <w:tcW w:w="1140" w:type="dxa"/>
          </w:tcPr>
          <w:p w:rsidR="00F45AC7" w:rsidRPr="007D0828" w:rsidRDefault="007D0828" w:rsidP="005804A2">
            <w:pPr>
              <w:pStyle w:val="BodyText"/>
              <w:spacing w:after="0"/>
              <w:jc w:val="right"/>
              <w:rPr>
                <w:rFonts w:ascii="Arial" w:hAnsi="Arial" w:cs="Arial"/>
                <w:sz w:val="22"/>
                <w:szCs w:val="22"/>
              </w:rPr>
            </w:pPr>
            <w:r w:rsidRPr="007D0828">
              <w:rPr>
                <w:rFonts w:ascii="Arial" w:hAnsi="Arial" w:cs="Arial"/>
                <w:sz w:val="22"/>
                <w:szCs w:val="22"/>
              </w:rPr>
              <w:t>0.000</w:t>
            </w:r>
          </w:p>
        </w:tc>
      </w:tr>
      <w:tr w:rsidR="00F45AC7" w:rsidRPr="00330F7B" w:rsidTr="00F45AC7">
        <w:tc>
          <w:tcPr>
            <w:tcW w:w="2660" w:type="dxa"/>
          </w:tcPr>
          <w:p w:rsidR="00F45AC7" w:rsidRPr="006913F9" w:rsidRDefault="00F45AC7" w:rsidP="005804A2">
            <w:pPr>
              <w:pStyle w:val="BodyText"/>
              <w:spacing w:after="0"/>
              <w:rPr>
                <w:rFonts w:ascii="Arial" w:hAnsi="Arial" w:cs="Arial"/>
                <w:iCs/>
                <w:sz w:val="22"/>
                <w:szCs w:val="22"/>
              </w:rPr>
            </w:pPr>
            <w:r w:rsidRPr="006913F9">
              <w:rPr>
                <w:rFonts w:ascii="Arial" w:hAnsi="Arial" w:cs="Arial"/>
                <w:iCs/>
                <w:sz w:val="22"/>
                <w:szCs w:val="22"/>
              </w:rPr>
              <w:t>Loans to Joint Ventures</w:t>
            </w:r>
          </w:p>
        </w:tc>
        <w:tc>
          <w:tcPr>
            <w:tcW w:w="1276" w:type="dxa"/>
          </w:tcPr>
          <w:p w:rsidR="00F45AC7" w:rsidRPr="008E3D9A" w:rsidRDefault="007D0828" w:rsidP="007D0828">
            <w:pPr>
              <w:pStyle w:val="BodyText"/>
              <w:spacing w:after="0"/>
              <w:jc w:val="right"/>
              <w:rPr>
                <w:rFonts w:ascii="Arial" w:hAnsi="Arial" w:cs="Arial"/>
                <w:sz w:val="22"/>
                <w:szCs w:val="22"/>
              </w:rPr>
            </w:pPr>
            <w:r>
              <w:rPr>
                <w:rFonts w:ascii="Arial" w:hAnsi="Arial" w:cs="Arial"/>
                <w:sz w:val="22"/>
                <w:szCs w:val="22"/>
              </w:rPr>
              <w:t>5</w:t>
            </w:r>
            <w:r w:rsidR="00FA4A06" w:rsidRPr="008E3D9A">
              <w:rPr>
                <w:rFonts w:ascii="Arial" w:hAnsi="Arial" w:cs="Arial"/>
                <w:sz w:val="22"/>
                <w:szCs w:val="22"/>
              </w:rPr>
              <w:t>.000</w:t>
            </w:r>
          </w:p>
        </w:tc>
        <w:tc>
          <w:tcPr>
            <w:tcW w:w="1134" w:type="dxa"/>
          </w:tcPr>
          <w:p w:rsidR="00F45AC7" w:rsidRPr="008E3D9A" w:rsidRDefault="007D0828" w:rsidP="007D0828">
            <w:pPr>
              <w:pStyle w:val="BodyText"/>
              <w:spacing w:after="0"/>
              <w:jc w:val="right"/>
              <w:rPr>
                <w:rFonts w:ascii="Arial" w:hAnsi="Arial" w:cs="Arial"/>
                <w:sz w:val="22"/>
                <w:szCs w:val="22"/>
              </w:rPr>
            </w:pPr>
            <w:r>
              <w:rPr>
                <w:rFonts w:ascii="Arial" w:hAnsi="Arial" w:cs="Arial"/>
                <w:sz w:val="22"/>
                <w:szCs w:val="22"/>
              </w:rPr>
              <w:t>4</w:t>
            </w:r>
            <w:r w:rsidR="00F45AC7" w:rsidRPr="008E3D9A">
              <w:rPr>
                <w:rFonts w:ascii="Arial" w:hAnsi="Arial" w:cs="Arial"/>
                <w:sz w:val="22"/>
                <w:szCs w:val="22"/>
              </w:rPr>
              <w:t>.000</w:t>
            </w:r>
          </w:p>
        </w:tc>
        <w:tc>
          <w:tcPr>
            <w:tcW w:w="1134" w:type="dxa"/>
          </w:tcPr>
          <w:p w:rsidR="00F45AC7" w:rsidRPr="008E3D9A" w:rsidRDefault="008E3D9A" w:rsidP="008E3D9A">
            <w:pPr>
              <w:pStyle w:val="BodyText"/>
              <w:spacing w:after="0"/>
              <w:jc w:val="right"/>
              <w:rPr>
                <w:rFonts w:ascii="Arial" w:hAnsi="Arial" w:cs="Arial"/>
                <w:sz w:val="22"/>
                <w:szCs w:val="22"/>
              </w:rPr>
            </w:pPr>
            <w:r w:rsidRPr="008E3D9A">
              <w:rPr>
                <w:rFonts w:ascii="Arial" w:hAnsi="Arial" w:cs="Arial"/>
                <w:sz w:val="22"/>
                <w:szCs w:val="22"/>
              </w:rPr>
              <w:t>0.</w:t>
            </w:r>
            <w:r w:rsidR="00F45AC7" w:rsidRPr="008E3D9A">
              <w:rPr>
                <w:rFonts w:ascii="Arial" w:hAnsi="Arial" w:cs="Arial"/>
                <w:sz w:val="22"/>
                <w:szCs w:val="22"/>
              </w:rPr>
              <w:t>000</w:t>
            </w:r>
          </w:p>
        </w:tc>
        <w:tc>
          <w:tcPr>
            <w:tcW w:w="1140" w:type="dxa"/>
          </w:tcPr>
          <w:p w:rsidR="00F45AC7" w:rsidRPr="008E3D9A" w:rsidRDefault="008E3D9A" w:rsidP="005804A2">
            <w:pPr>
              <w:pStyle w:val="BodyText"/>
              <w:spacing w:after="0"/>
              <w:jc w:val="right"/>
              <w:rPr>
                <w:rFonts w:ascii="Arial" w:hAnsi="Arial" w:cs="Arial"/>
                <w:sz w:val="22"/>
                <w:szCs w:val="22"/>
              </w:rPr>
            </w:pPr>
            <w:r w:rsidRPr="008E3D9A">
              <w:rPr>
                <w:rFonts w:ascii="Arial" w:hAnsi="Arial" w:cs="Arial"/>
                <w:sz w:val="22"/>
                <w:szCs w:val="22"/>
              </w:rPr>
              <w:t>0.000</w:t>
            </w:r>
          </w:p>
        </w:tc>
      </w:tr>
      <w:tr w:rsidR="00F45AC7" w:rsidRPr="00330F7B" w:rsidTr="00F45AC7">
        <w:tc>
          <w:tcPr>
            <w:tcW w:w="2660" w:type="dxa"/>
          </w:tcPr>
          <w:p w:rsidR="00F45AC7" w:rsidRPr="00DE4C30" w:rsidRDefault="00F45AC7" w:rsidP="005804A2">
            <w:pPr>
              <w:pStyle w:val="BodyText"/>
              <w:spacing w:after="0"/>
              <w:rPr>
                <w:rFonts w:ascii="Arial" w:hAnsi="Arial" w:cs="Arial"/>
                <w:b/>
                <w:iCs/>
                <w:sz w:val="22"/>
                <w:szCs w:val="22"/>
              </w:rPr>
            </w:pPr>
            <w:r w:rsidRPr="00DE4C30">
              <w:rPr>
                <w:rFonts w:ascii="Arial" w:hAnsi="Arial" w:cs="Arial"/>
                <w:b/>
                <w:iCs/>
                <w:sz w:val="22"/>
                <w:szCs w:val="22"/>
              </w:rPr>
              <w:t>Total</w:t>
            </w:r>
            <w:r>
              <w:rPr>
                <w:rFonts w:ascii="Arial" w:hAnsi="Arial" w:cs="Arial"/>
                <w:b/>
                <w:iCs/>
                <w:sz w:val="22"/>
                <w:szCs w:val="22"/>
              </w:rPr>
              <w:t xml:space="preserve"> Capital</w:t>
            </w:r>
          </w:p>
        </w:tc>
        <w:tc>
          <w:tcPr>
            <w:tcW w:w="1276" w:type="dxa"/>
          </w:tcPr>
          <w:p w:rsidR="00F45AC7" w:rsidRPr="008E3D9A" w:rsidRDefault="00FA4A06" w:rsidP="007D0828">
            <w:pPr>
              <w:pStyle w:val="BodyText"/>
              <w:spacing w:after="0"/>
              <w:jc w:val="right"/>
              <w:rPr>
                <w:rFonts w:ascii="Arial" w:hAnsi="Arial" w:cs="Arial"/>
                <w:b/>
                <w:sz w:val="22"/>
                <w:szCs w:val="22"/>
              </w:rPr>
            </w:pPr>
            <w:r w:rsidRPr="008E3D9A">
              <w:rPr>
                <w:rFonts w:ascii="Arial" w:hAnsi="Arial" w:cs="Arial"/>
                <w:b/>
                <w:sz w:val="22"/>
                <w:szCs w:val="22"/>
              </w:rPr>
              <w:t>3</w:t>
            </w:r>
            <w:r w:rsidR="007D0828">
              <w:rPr>
                <w:rFonts w:ascii="Arial" w:hAnsi="Arial" w:cs="Arial"/>
                <w:b/>
                <w:sz w:val="22"/>
                <w:szCs w:val="22"/>
              </w:rPr>
              <w:t>8</w:t>
            </w:r>
            <w:r w:rsidRPr="008E3D9A">
              <w:rPr>
                <w:rFonts w:ascii="Arial" w:hAnsi="Arial" w:cs="Arial"/>
                <w:b/>
                <w:sz w:val="22"/>
                <w:szCs w:val="22"/>
              </w:rPr>
              <w:t>.</w:t>
            </w:r>
            <w:r w:rsidR="008E3D9A" w:rsidRPr="008E3D9A">
              <w:rPr>
                <w:rFonts w:ascii="Arial" w:hAnsi="Arial" w:cs="Arial"/>
                <w:b/>
                <w:sz w:val="22"/>
                <w:szCs w:val="22"/>
              </w:rPr>
              <w:t>427</w:t>
            </w:r>
          </w:p>
        </w:tc>
        <w:tc>
          <w:tcPr>
            <w:tcW w:w="1134" w:type="dxa"/>
          </w:tcPr>
          <w:p w:rsidR="00F45AC7" w:rsidRPr="008E3D9A" w:rsidRDefault="00F45AC7" w:rsidP="007D0828">
            <w:pPr>
              <w:pStyle w:val="BodyText"/>
              <w:spacing w:after="0"/>
              <w:jc w:val="right"/>
              <w:rPr>
                <w:rFonts w:ascii="Arial" w:hAnsi="Arial" w:cs="Arial"/>
                <w:b/>
                <w:sz w:val="22"/>
                <w:szCs w:val="22"/>
              </w:rPr>
            </w:pPr>
            <w:r w:rsidRPr="008E3D9A">
              <w:rPr>
                <w:rFonts w:ascii="Arial" w:hAnsi="Arial" w:cs="Arial"/>
                <w:b/>
                <w:sz w:val="22"/>
                <w:szCs w:val="22"/>
              </w:rPr>
              <w:t>3</w:t>
            </w:r>
            <w:r w:rsidR="007D0828">
              <w:rPr>
                <w:rFonts w:ascii="Arial" w:hAnsi="Arial" w:cs="Arial"/>
                <w:b/>
                <w:sz w:val="22"/>
                <w:szCs w:val="22"/>
              </w:rPr>
              <w:t>4</w:t>
            </w:r>
            <w:r w:rsidRPr="008E3D9A">
              <w:rPr>
                <w:rFonts w:ascii="Arial" w:hAnsi="Arial" w:cs="Arial"/>
                <w:b/>
                <w:sz w:val="22"/>
                <w:szCs w:val="22"/>
              </w:rPr>
              <w:t>.</w:t>
            </w:r>
            <w:r w:rsidR="008E3D9A" w:rsidRPr="008E3D9A">
              <w:rPr>
                <w:rFonts w:ascii="Arial" w:hAnsi="Arial" w:cs="Arial"/>
                <w:b/>
                <w:sz w:val="22"/>
                <w:szCs w:val="22"/>
              </w:rPr>
              <w:t>149</w:t>
            </w:r>
          </w:p>
        </w:tc>
        <w:tc>
          <w:tcPr>
            <w:tcW w:w="1134" w:type="dxa"/>
          </w:tcPr>
          <w:p w:rsidR="00F45AC7" w:rsidRPr="008E3D9A" w:rsidRDefault="007D0828" w:rsidP="007D0828">
            <w:pPr>
              <w:pStyle w:val="BodyText"/>
              <w:spacing w:after="0"/>
              <w:jc w:val="right"/>
              <w:rPr>
                <w:rFonts w:ascii="Arial" w:hAnsi="Arial" w:cs="Arial"/>
                <w:b/>
                <w:sz w:val="22"/>
                <w:szCs w:val="22"/>
              </w:rPr>
            </w:pPr>
            <w:r>
              <w:rPr>
                <w:rFonts w:ascii="Arial" w:hAnsi="Arial" w:cs="Arial"/>
                <w:b/>
                <w:sz w:val="22"/>
                <w:szCs w:val="22"/>
              </w:rPr>
              <w:t>1</w:t>
            </w:r>
            <w:r w:rsidR="008E3D9A" w:rsidRPr="008E3D9A">
              <w:rPr>
                <w:rFonts w:ascii="Arial" w:hAnsi="Arial" w:cs="Arial"/>
                <w:b/>
                <w:sz w:val="22"/>
                <w:szCs w:val="22"/>
              </w:rPr>
              <w:t>5</w:t>
            </w:r>
            <w:r w:rsidR="00F45AC7" w:rsidRPr="008E3D9A">
              <w:rPr>
                <w:rFonts w:ascii="Arial" w:hAnsi="Arial" w:cs="Arial"/>
                <w:b/>
                <w:sz w:val="22"/>
                <w:szCs w:val="22"/>
              </w:rPr>
              <w:t>.</w:t>
            </w:r>
            <w:r w:rsidR="008E3D9A" w:rsidRPr="008E3D9A">
              <w:rPr>
                <w:rFonts w:ascii="Arial" w:hAnsi="Arial" w:cs="Arial"/>
                <w:b/>
                <w:sz w:val="22"/>
                <w:szCs w:val="22"/>
              </w:rPr>
              <w:t>146</w:t>
            </w:r>
          </w:p>
        </w:tc>
        <w:tc>
          <w:tcPr>
            <w:tcW w:w="1140" w:type="dxa"/>
          </w:tcPr>
          <w:p w:rsidR="00F45AC7" w:rsidRPr="008E3D9A" w:rsidRDefault="007D0828" w:rsidP="007D0828">
            <w:pPr>
              <w:pStyle w:val="BodyText"/>
              <w:spacing w:after="0"/>
              <w:jc w:val="right"/>
              <w:rPr>
                <w:rFonts w:ascii="Arial" w:hAnsi="Arial" w:cs="Arial"/>
                <w:b/>
                <w:sz w:val="22"/>
                <w:szCs w:val="22"/>
              </w:rPr>
            </w:pPr>
            <w:r>
              <w:rPr>
                <w:rFonts w:ascii="Arial" w:hAnsi="Arial" w:cs="Arial"/>
                <w:b/>
                <w:sz w:val="22"/>
                <w:szCs w:val="22"/>
              </w:rPr>
              <w:t>1</w:t>
            </w:r>
            <w:r w:rsidR="008E3D9A" w:rsidRPr="008E3D9A">
              <w:rPr>
                <w:rFonts w:ascii="Arial" w:hAnsi="Arial" w:cs="Arial"/>
                <w:b/>
                <w:sz w:val="22"/>
                <w:szCs w:val="22"/>
              </w:rPr>
              <w:t>3</w:t>
            </w:r>
            <w:r w:rsidR="00F45AC7" w:rsidRPr="008E3D9A">
              <w:rPr>
                <w:rFonts w:ascii="Arial" w:hAnsi="Arial" w:cs="Arial"/>
                <w:b/>
                <w:sz w:val="22"/>
                <w:szCs w:val="22"/>
              </w:rPr>
              <w:t>.</w:t>
            </w:r>
            <w:r w:rsidR="008E3D9A" w:rsidRPr="008E3D9A">
              <w:rPr>
                <w:rFonts w:ascii="Arial" w:hAnsi="Arial" w:cs="Arial"/>
                <w:b/>
                <w:sz w:val="22"/>
                <w:szCs w:val="22"/>
              </w:rPr>
              <w:t>133</w:t>
            </w:r>
          </w:p>
        </w:tc>
      </w:tr>
      <w:tr w:rsidR="00F45AC7" w:rsidRPr="00330F7B" w:rsidTr="00F45AC7">
        <w:tc>
          <w:tcPr>
            <w:tcW w:w="2660" w:type="dxa"/>
          </w:tcPr>
          <w:p w:rsidR="00F45AC7" w:rsidRPr="00330F7B" w:rsidRDefault="00F45AC7" w:rsidP="005804A2">
            <w:pPr>
              <w:pStyle w:val="BodyText"/>
              <w:spacing w:after="0"/>
              <w:rPr>
                <w:rFonts w:ascii="Arial" w:hAnsi="Arial" w:cs="Arial"/>
                <w:b/>
                <w:iCs/>
                <w:sz w:val="22"/>
                <w:szCs w:val="22"/>
              </w:rPr>
            </w:pPr>
            <w:r w:rsidRPr="00330F7B">
              <w:rPr>
                <w:rFonts w:ascii="Arial" w:hAnsi="Arial" w:cs="Arial"/>
                <w:b/>
                <w:bCs/>
                <w:sz w:val="22"/>
                <w:szCs w:val="22"/>
              </w:rPr>
              <w:t>Financed by:</w:t>
            </w:r>
          </w:p>
        </w:tc>
        <w:tc>
          <w:tcPr>
            <w:tcW w:w="1276" w:type="dxa"/>
          </w:tcPr>
          <w:p w:rsidR="00F45AC7" w:rsidRPr="007A1170" w:rsidRDefault="00F45AC7" w:rsidP="005804A2">
            <w:pPr>
              <w:pStyle w:val="BodyText"/>
              <w:spacing w:after="0"/>
              <w:jc w:val="right"/>
              <w:rPr>
                <w:rFonts w:ascii="Arial" w:hAnsi="Arial" w:cs="Arial"/>
                <w:sz w:val="22"/>
                <w:szCs w:val="22"/>
                <w:highlight w:val="yellow"/>
              </w:rPr>
            </w:pPr>
          </w:p>
        </w:tc>
        <w:tc>
          <w:tcPr>
            <w:tcW w:w="1134" w:type="dxa"/>
          </w:tcPr>
          <w:p w:rsidR="00F45AC7" w:rsidRPr="007A1170" w:rsidRDefault="00F45AC7" w:rsidP="005804A2">
            <w:pPr>
              <w:pStyle w:val="BodyText"/>
              <w:spacing w:after="0"/>
              <w:jc w:val="right"/>
              <w:rPr>
                <w:rFonts w:ascii="Arial" w:hAnsi="Arial" w:cs="Arial"/>
                <w:sz w:val="22"/>
                <w:szCs w:val="22"/>
                <w:highlight w:val="yellow"/>
              </w:rPr>
            </w:pPr>
          </w:p>
        </w:tc>
        <w:tc>
          <w:tcPr>
            <w:tcW w:w="1134" w:type="dxa"/>
          </w:tcPr>
          <w:p w:rsidR="00F45AC7" w:rsidRPr="007A1170" w:rsidRDefault="00F45AC7" w:rsidP="005804A2">
            <w:pPr>
              <w:pStyle w:val="BodyText"/>
              <w:spacing w:after="0"/>
              <w:jc w:val="right"/>
              <w:rPr>
                <w:rFonts w:ascii="Arial" w:hAnsi="Arial" w:cs="Arial"/>
                <w:sz w:val="22"/>
                <w:szCs w:val="22"/>
                <w:highlight w:val="yellow"/>
              </w:rPr>
            </w:pPr>
          </w:p>
        </w:tc>
        <w:tc>
          <w:tcPr>
            <w:tcW w:w="1140" w:type="dxa"/>
          </w:tcPr>
          <w:p w:rsidR="00F45AC7" w:rsidRPr="007A1170" w:rsidRDefault="00F45AC7" w:rsidP="005804A2">
            <w:pPr>
              <w:pStyle w:val="BodyText"/>
              <w:spacing w:after="0"/>
              <w:jc w:val="right"/>
              <w:rPr>
                <w:rFonts w:ascii="Arial" w:hAnsi="Arial" w:cs="Arial"/>
                <w:sz w:val="22"/>
                <w:szCs w:val="22"/>
                <w:highlight w:val="yellow"/>
              </w:rPr>
            </w:pPr>
          </w:p>
        </w:tc>
      </w:tr>
      <w:tr w:rsidR="00F45AC7" w:rsidRPr="00330F7B" w:rsidTr="00F45AC7">
        <w:tc>
          <w:tcPr>
            <w:tcW w:w="2660" w:type="dxa"/>
          </w:tcPr>
          <w:p w:rsidR="00F45AC7" w:rsidRPr="00330F7B" w:rsidRDefault="00F45AC7" w:rsidP="005804A2">
            <w:pPr>
              <w:pStyle w:val="BodyText"/>
              <w:spacing w:after="0"/>
              <w:rPr>
                <w:rFonts w:ascii="Arial" w:hAnsi="Arial" w:cs="Arial"/>
                <w:iCs/>
                <w:sz w:val="22"/>
                <w:szCs w:val="22"/>
              </w:rPr>
            </w:pPr>
            <w:r w:rsidRPr="00330F7B">
              <w:rPr>
                <w:rFonts w:ascii="Arial" w:hAnsi="Arial" w:cs="Arial"/>
                <w:iCs/>
                <w:sz w:val="22"/>
                <w:szCs w:val="22"/>
              </w:rPr>
              <w:t>Capital receipts</w:t>
            </w:r>
            <w:r>
              <w:rPr>
                <w:rFonts w:ascii="Arial" w:hAnsi="Arial" w:cs="Arial"/>
                <w:iCs/>
                <w:sz w:val="22"/>
                <w:szCs w:val="22"/>
              </w:rPr>
              <w:t>-General Fund</w:t>
            </w:r>
          </w:p>
        </w:tc>
        <w:tc>
          <w:tcPr>
            <w:tcW w:w="1276" w:type="dxa"/>
          </w:tcPr>
          <w:p w:rsidR="00F45AC7" w:rsidRPr="0093753A" w:rsidRDefault="00FA4A06" w:rsidP="008E3D9A">
            <w:pPr>
              <w:pStyle w:val="BodyText"/>
              <w:spacing w:after="0"/>
              <w:jc w:val="right"/>
              <w:rPr>
                <w:rFonts w:ascii="Arial" w:hAnsi="Arial" w:cs="Arial"/>
                <w:sz w:val="22"/>
                <w:szCs w:val="22"/>
              </w:rPr>
            </w:pPr>
            <w:r w:rsidRPr="0093753A">
              <w:rPr>
                <w:rFonts w:ascii="Arial" w:hAnsi="Arial" w:cs="Arial"/>
                <w:sz w:val="22"/>
                <w:szCs w:val="22"/>
              </w:rPr>
              <w:t>3.</w:t>
            </w:r>
            <w:r w:rsidR="008E3D9A" w:rsidRPr="0093753A">
              <w:rPr>
                <w:rFonts w:ascii="Arial" w:hAnsi="Arial" w:cs="Arial"/>
                <w:sz w:val="22"/>
                <w:szCs w:val="22"/>
              </w:rPr>
              <w:t>511</w:t>
            </w:r>
          </w:p>
        </w:tc>
        <w:tc>
          <w:tcPr>
            <w:tcW w:w="1134" w:type="dxa"/>
          </w:tcPr>
          <w:p w:rsidR="00F45AC7" w:rsidRPr="0093753A" w:rsidRDefault="008E3D9A" w:rsidP="008E3D9A">
            <w:pPr>
              <w:pStyle w:val="BodyText"/>
              <w:spacing w:after="0"/>
              <w:jc w:val="right"/>
              <w:rPr>
                <w:rFonts w:ascii="Arial" w:hAnsi="Arial" w:cs="Arial"/>
                <w:sz w:val="22"/>
                <w:szCs w:val="22"/>
              </w:rPr>
            </w:pPr>
            <w:r w:rsidRPr="0093753A">
              <w:rPr>
                <w:rFonts w:ascii="Arial" w:hAnsi="Arial" w:cs="Arial"/>
                <w:sz w:val="22"/>
                <w:szCs w:val="22"/>
              </w:rPr>
              <w:t>1</w:t>
            </w:r>
            <w:r w:rsidR="00F45AC7" w:rsidRPr="0093753A">
              <w:rPr>
                <w:rFonts w:ascii="Arial" w:hAnsi="Arial" w:cs="Arial"/>
                <w:sz w:val="22"/>
                <w:szCs w:val="22"/>
              </w:rPr>
              <w:t>.</w:t>
            </w:r>
            <w:r w:rsidRPr="0093753A">
              <w:rPr>
                <w:rFonts w:ascii="Arial" w:hAnsi="Arial" w:cs="Arial"/>
                <w:sz w:val="22"/>
                <w:szCs w:val="22"/>
              </w:rPr>
              <w:t>686</w:t>
            </w:r>
          </w:p>
        </w:tc>
        <w:tc>
          <w:tcPr>
            <w:tcW w:w="1134" w:type="dxa"/>
          </w:tcPr>
          <w:p w:rsidR="00F45AC7" w:rsidRPr="0093753A" w:rsidRDefault="00F45AC7" w:rsidP="008E3D9A">
            <w:pPr>
              <w:pStyle w:val="BodyText"/>
              <w:spacing w:after="0"/>
              <w:jc w:val="right"/>
              <w:rPr>
                <w:rFonts w:ascii="Arial" w:hAnsi="Arial" w:cs="Arial"/>
                <w:sz w:val="22"/>
                <w:szCs w:val="22"/>
              </w:rPr>
            </w:pPr>
            <w:r w:rsidRPr="0093753A">
              <w:rPr>
                <w:rFonts w:ascii="Arial" w:hAnsi="Arial" w:cs="Arial"/>
                <w:sz w:val="22"/>
                <w:szCs w:val="22"/>
              </w:rPr>
              <w:t>1.</w:t>
            </w:r>
            <w:r w:rsidR="008E3D9A" w:rsidRPr="0093753A">
              <w:rPr>
                <w:rFonts w:ascii="Arial" w:hAnsi="Arial" w:cs="Arial"/>
                <w:sz w:val="22"/>
                <w:szCs w:val="22"/>
              </w:rPr>
              <w:t>863</w:t>
            </w:r>
          </w:p>
        </w:tc>
        <w:tc>
          <w:tcPr>
            <w:tcW w:w="1140" w:type="dxa"/>
          </w:tcPr>
          <w:p w:rsidR="00F45AC7" w:rsidRPr="0093753A" w:rsidRDefault="008E3D9A" w:rsidP="008E3D9A">
            <w:pPr>
              <w:pStyle w:val="BodyText"/>
              <w:spacing w:after="0"/>
              <w:jc w:val="right"/>
              <w:rPr>
                <w:rFonts w:ascii="Arial" w:hAnsi="Arial" w:cs="Arial"/>
                <w:sz w:val="22"/>
                <w:szCs w:val="22"/>
              </w:rPr>
            </w:pPr>
            <w:r w:rsidRPr="0093753A">
              <w:rPr>
                <w:rFonts w:ascii="Arial" w:hAnsi="Arial" w:cs="Arial"/>
                <w:sz w:val="22"/>
                <w:szCs w:val="22"/>
              </w:rPr>
              <w:t>0</w:t>
            </w:r>
            <w:r w:rsidR="00F45AC7" w:rsidRPr="0093753A">
              <w:rPr>
                <w:rFonts w:ascii="Arial" w:hAnsi="Arial" w:cs="Arial"/>
                <w:sz w:val="22"/>
                <w:szCs w:val="22"/>
              </w:rPr>
              <w:t>.</w:t>
            </w:r>
            <w:r w:rsidRPr="0093753A">
              <w:rPr>
                <w:rFonts w:ascii="Arial" w:hAnsi="Arial" w:cs="Arial"/>
                <w:sz w:val="22"/>
                <w:szCs w:val="22"/>
              </w:rPr>
              <w:t>350</w:t>
            </w:r>
          </w:p>
        </w:tc>
      </w:tr>
      <w:tr w:rsidR="00F45AC7" w:rsidRPr="00330F7B" w:rsidTr="00F45AC7">
        <w:tc>
          <w:tcPr>
            <w:tcW w:w="2660" w:type="dxa"/>
          </w:tcPr>
          <w:p w:rsidR="00F45AC7" w:rsidRPr="00330F7B" w:rsidRDefault="00F45AC7" w:rsidP="005804A2">
            <w:pPr>
              <w:pStyle w:val="BodyText"/>
              <w:spacing w:after="0"/>
              <w:rPr>
                <w:rFonts w:ascii="Arial" w:hAnsi="Arial" w:cs="Arial"/>
                <w:iCs/>
                <w:sz w:val="22"/>
                <w:szCs w:val="22"/>
              </w:rPr>
            </w:pPr>
            <w:r>
              <w:rPr>
                <w:rFonts w:ascii="Arial" w:hAnsi="Arial" w:cs="Arial"/>
                <w:iCs/>
                <w:sz w:val="22"/>
                <w:szCs w:val="22"/>
              </w:rPr>
              <w:t>Capital receipts Housing</w:t>
            </w:r>
          </w:p>
        </w:tc>
        <w:tc>
          <w:tcPr>
            <w:tcW w:w="1276" w:type="dxa"/>
          </w:tcPr>
          <w:p w:rsidR="00F45AC7" w:rsidRPr="0093753A" w:rsidRDefault="00FA4A06" w:rsidP="008E3D9A">
            <w:pPr>
              <w:pStyle w:val="BodyText"/>
              <w:spacing w:after="0"/>
              <w:jc w:val="right"/>
              <w:rPr>
                <w:rFonts w:ascii="Arial" w:hAnsi="Arial" w:cs="Arial"/>
                <w:sz w:val="22"/>
                <w:szCs w:val="22"/>
              </w:rPr>
            </w:pPr>
            <w:r w:rsidRPr="0093753A">
              <w:rPr>
                <w:rFonts w:ascii="Arial" w:hAnsi="Arial" w:cs="Arial"/>
                <w:sz w:val="22"/>
                <w:szCs w:val="22"/>
              </w:rPr>
              <w:t>0.</w:t>
            </w:r>
            <w:r w:rsidR="008E3D9A" w:rsidRPr="0093753A">
              <w:rPr>
                <w:rFonts w:ascii="Arial" w:hAnsi="Arial" w:cs="Arial"/>
                <w:sz w:val="22"/>
                <w:szCs w:val="22"/>
              </w:rPr>
              <w:t>198</w:t>
            </w:r>
          </w:p>
        </w:tc>
        <w:tc>
          <w:tcPr>
            <w:tcW w:w="1134" w:type="dxa"/>
          </w:tcPr>
          <w:p w:rsidR="00F45AC7" w:rsidRPr="0093753A" w:rsidRDefault="00F45AC7" w:rsidP="008E3D9A">
            <w:pPr>
              <w:pStyle w:val="BodyText"/>
              <w:spacing w:after="0"/>
              <w:jc w:val="right"/>
              <w:rPr>
                <w:rFonts w:ascii="Arial" w:hAnsi="Arial" w:cs="Arial"/>
                <w:sz w:val="22"/>
                <w:szCs w:val="22"/>
              </w:rPr>
            </w:pPr>
            <w:r w:rsidRPr="0093753A">
              <w:rPr>
                <w:rFonts w:ascii="Arial" w:hAnsi="Arial" w:cs="Arial"/>
                <w:sz w:val="22"/>
                <w:szCs w:val="22"/>
              </w:rPr>
              <w:t>0.</w:t>
            </w:r>
            <w:r w:rsidR="008E3D9A" w:rsidRPr="0093753A">
              <w:rPr>
                <w:rFonts w:ascii="Arial" w:hAnsi="Arial" w:cs="Arial"/>
                <w:sz w:val="22"/>
                <w:szCs w:val="22"/>
              </w:rPr>
              <w:t>200</w:t>
            </w:r>
          </w:p>
        </w:tc>
        <w:tc>
          <w:tcPr>
            <w:tcW w:w="1134" w:type="dxa"/>
          </w:tcPr>
          <w:p w:rsidR="00F45AC7" w:rsidRPr="0093753A" w:rsidRDefault="00F45AC7" w:rsidP="008E3D9A">
            <w:pPr>
              <w:pStyle w:val="BodyText"/>
              <w:spacing w:after="0"/>
              <w:jc w:val="right"/>
              <w:rPr>
                <w:rFonts w:ascii="Arial" w:hAnsi="Arial" w:cs="Arial"/>
                <w:sz w:val="22"/>
                <w:szCs w:val="22"/>
              </w:rPr>
            </w:pPr>
            <w:r w:rsidRPr="0093753A">
              <w:rPr>
                <w:rFonts w:ascii="Arial" w:hAnsi="Arial" w:cs="Arial"/>
                <w:sz w:val="22"/>
                <w:szCs w:val="22"/>
              </w:rPr>
              <w:t>0.2</w:t>
            </w:r>
            <w:r w:rsidR="008E3D9A" w:rsidRPr="0093753A">
              <w:rPr>
                <w:rFonts w:ascii="Arial" w:hAnsi="Arial" w:cs="Arial"/>
                <w:sz w:val="22"/>
                <w:szCs w:val="22"/>
              </w:rPr>
              <w:t>22</w:t>
            </w:r>
          </w:p>
        </w:tc>
        <w:tc>
          <w:tcPr>
            <w:tcW w:w="1140" w:type="dxa"/>
          </w:tcPr>
          <w:p w:rsidR="00F45AC7" w:rsidRPr="0093753A" w:rsidRDefault="00F45AC7" w:rsidP="008E3D9A">
            <w:pPr>
              <w:pStyle w:val="BodyText"/>
              <w:spacing w:after="0"/>
              <w:jc w:val="right"/>
              <w:rPr>
                <w:rFonts w:ascii="Arial" w:hAnsi="Arial" w:cs="Arial"/>
                <w:sz w:val="22"/>
                <w:szCs w:val="22"/>
              </w:rPr>
            </w:pPr>
            <w:r w:rsidRPr="0093753A">
              <w:rPr>
                <w:rFonts w:ascii="Arial" w:hAnsi="Arial" w:cs="Arial"/>
                <w:sz w:val="22"/>
                <w:szCs w:val="22"/>
              </w:rPr>
              <w:t>0.2</w:t>
            </w:r>
            <w:r w:rsidR="008E3D9A" w:rsidRPr="0093753A">
              <w:rPr>
                <w:rFonts w:ascii="Arial" w:hAnsi="Arial" w:cs="Arial"/>
                <w:sz w:val="22"/>
                <w:szCs w:val="22"/>
              </w:rPr>
              <w:t>34</w:t>
            </w:r>
          </w:p>
        </w:tc>
      </w:tr>
      <w:tr w:rsidR="00F45AC7" w:rsidRPr="00330F7B" w:rsidTr="00F45AC7">
        <w:tc>
          <w:tcPr>
            <w:tcW w:w="2660" w:type="dxa"/>
          </w:tcPr>
          <w:p w:rsidR="00F45AC7" w:rsidRPr="00330F7B" w:rsidRDefault="00F45AC7" w:rsidP="005804A2">
            <w:pPr>
              <w:pStyle w:val="BodyText"/>
              <w:spacing w:after="0"/>
              <w:rPr>
                <w:rFonts w:ascii="Arial" w:hAnsi="Arial" w:cs="Arial"/>
                <w:iCs/>
                <w:sz w:val="22"/>
                <w:szCs w:val="22"/>
              </w:rPr>
            </w:pPr>
            <w:r w:rsidRPr="00330F7B">
              <w:rPr>
                <w:rFonts w:ascii="Arial" w:hAnsi="Arial" w:cs="Arial"/>
                <w:iCs/>
                <w:sz w:val="22"/>
                <w:szCs w:val="22"/>
              </w:rPr>
              <w:t>Capital grants</w:t>
            </w:r>
          </w:p>
        </w:tc>
        <w:tc>
          <w:tcPr>
            <w:tcW w:w="1276" w:type="dxa"/>
          </w:tcPr>
          <w:p w:rsidR="00F45AC7" w:rsidRPr="0093753A" w:rsidRDefault="00FA4A06" w:rsidP="008E3D9A">
            <w:pPr>
              <w:pStyle w:val="BodyText"/>
              <w:spacing w:after="0"/>
              <w:jc w:val="right"/>
              <w:rPr>
                <w:rFonts w:ascii="Arial" w:hAnsi="Arial" w:cs="Arial"/>
                <w:sz w:val="22"/>
                <w:szCs w:val="22"/>
              </w:rPr>
            </w:pPr>
            <w:r w:rsidRPr="0093753A">
              <w:rPr>
                <w:rFonts w:ascii="Arial" w:hAnsi="Arial" w:cs="Arial"/>
                <w:sz w:val="22"/>
                <w:szCs w:val="22"/>
              </w:rPr>
              <w:t>1</w:t>
            </w:r>
            <w:r w:rsidR="008E3D9A" w:rsidRPr="0093753A">
              <w:rPr>
                <w:rFonts w:ascii="Arial" w:hAnsi="Arial" w:cs="Arial"/>
                <w:sz w:val="22"/>
                <w:szCs w:val="22"/>
              </w:rPr>
              <w:t>2</w:t>
            </w:r>
            <w:r w:rsidRPr="0093753A">
              <w:rPr>
                <w:rFonts w:ascii="Arial" w:hAnsi="Arial" w:cs="Arial"/>
                <w:sz w:val="22"/>
                <w:szCs w:val="22"/>
              </w:rPr>
              <w:t>.</w:t>
            </w:r>
            <w:r w:rsidR="008E3D9A" w:rsidRPr="0093753A">
              <w:rPr>
                <w:rFonts w:ascii="Arial" w:hAnsi="Arial" w:cs="Arial"/>
                <w:sz w:val="22"/>
                <w:szCs w:val="22"/>
              </w:rPr>
              <w:t>235</w:t>
            </w:r>
          </w:p>
        </w:tc>
        <w:tc>
          <w:tcPr>
            <w:tcW w:w="1134" w:type="dxa"/>
          </w:tcPr>
          <w:p w:rsidR="00F45AC7" w:rsidRPr="0093753A" w:rsidRDefault="008E3D9A" w:rsidP="008E3D9A">
            <w:pPr>
              <w:pStyle w:val="BodyText"/>
              <w:spacing w:after="0"/>
              <w:jc w:val="right"/>
              <w:rPr>
                <w:rFonts w:ascii="Arial" w:hAnsi="Arial" w:cs="Arial"/>
                <w:sz w:val="22"/>
                <w:szCs w:val="22"/>
              </w:rPr>
            </w:pPr>
            <w:r w:rsidRPr="0093753A">
              <w:rPr>
                <w:rFonts w:ascii="Arial" w:hAnsi="Arial" w:cs="Arial"/>
                <w:sz w:val="22"/>
                <w:szCs w:val="22"/>
              </w:rPr>
              <w:t>5</w:t>
            </w:r>
            <w:r w:rsidR="00F45AC7" w:rsidRPr="0093753A">
              <w:rPr>
                <w:rFonts w:ascii="Arial" w:hAnsi="Arial" w:cs="Arial"/>
                <w:sz w:val="22"/>
                <w:szCs w:val="22"/>
              </w:rPr>
              <w:t>.</w:t>
            </w:r>
            <w:r w:rsidRPr="0093753A">
              <w:rPr>
                <w:rFonts w:ascii="Arial" w:hAnsi="Arial" w:cs="Arial"/>
                <w:sz w:val="22"/>
                <w:szCs w:val="22"/>
              </w:rPr>
              <w:t>929</w:t>
            </w:r>
          </w:p>
        </w:tc>
        <w:tc>
          <w:tcPr>
            <w:tcW w:w="1134" w:type="dxa"/>
          </w:tcPr>
          <w:p w:rsidR="00F45AC7" w:rsidRPr="0093753A" w:rsidRDefault="008E3D9A" w:rsidP="008E3D9A">
            <w:pPr>
              <w:pStyle w:val="BodyText"/>
              <w:spacing w:after="0"/>
              <w:jc w:val="right"/>
              <w:rPr>
                <w:rFonts w:ascii="Arial" w:hAnsi="Arial" w:cs="Arial"/>
                <w:sz w:val="22"/>
                <w:szCs w:val="22"/>
              </w:rPr>
            </w:pPr>
            <w:r w:rsidRPr="0093753A">
              <w:rPr>
                <w:rFonts w:ascii="Arial" w:hAnsi="Arial" w:cs="Arial"/>
                <w:sz w:val="22"/>
                <w:szCs w:val="22"/>
              </w:rPr>
              <w:t>3</w:t>
            </w:r>
            <w:r w:rsidR="00F45AC7" w:rsidRPr="0093753A">
              <w:rPr>
                <w:rFonts w:ascii="Arial" w:hAnsi="Arial" w:cs="Arial"/>
                <w:sz w:val="22"/>
                <w:szCs w:val="22"/>
              </w:rPr>
              <w:t>.</w:t>
            </w:r>
            <w:r w:rsidRPr="0093753A">
              <w:rPr>
                <w:rFonts w:ascii="Arial" w:hAnsi="Arial" w:cs="Arial"/>
                <w:sz w:val="22"/>
                <w:szCs w:val="22"/>
              </w:rPr>
              <w:t>649</w:t>
            </w:r>
          </w:p>
        </w:tc>
        <w:tc>
          <w:tcPr>
            <w:tcW w:w="1140" w:type="dxa"/>
          </w:tcPr>
          <w:p w:rsidR="00F45AC7" w:rsidRPr="0093753A" w:rsidRDefault="00F45AC7" w:rsidP="008E3D9A">
            <w:pPr>
              <w:pStyle w:val="BodyText"/>
              <w:spacing w:after="0"/>
              <w:jc w:val="right"/>
              <w:rPr>
                <w:rFonts w:ascii="Arial" w:hAnsi="Arial" w:cs="Arial"/>
                <w:sz w:val="22"/>
                <w:szCs w:val="22"/>
              </w:rPr>
            </w:pPr>
            <w:r w:rsidRPr="0093753A">
              <w:rPr>
                <w:rFonts w:ascii="Arial" w:hAnsi="Arial" w:cs="Arial"/>
                <w:sz w:val="22"/>
                <w:szCs w:val="22"/>
              </w:rPr>
              <w:t>3.</w:t>
            </w:r>
            <w:r w:rsidR="008E3D9A" w:rsidRPr="0093753A">
              <w:rPr>
                <w:rFonts w:ascii="Arial" w:hAnsi="Arial" w:cs="Arial"/>
                <w:sz w:val="22"/>
                <w:szCs w:val="22"/>
              </w:rPr>
              <w:t>649</w:t>
            </w:r>
          </w:p>
        </w:tc>
      </w:tr>
      <w:tr w:rsidR="00F45AC7" w:rsidRPr="00330F7B" w:rsidTr="00F45AC7">
        <w:tc>
          <w:tcPr>
            <w:tcW w:w="2660" w:type="dxa"/>
          </w:tcPr>
          <w:p w:rsidR="00F45AC7" w:rsidRPr="00330F7B" w:rsidRDefault="00F45AC7" w:rsidP="005804A2">
            <w:pPr>
              <w:pStyle w:val="BodyText"/>
              <w:spacing w:after="0"/>
              <w:rPr>
                <w:rFonts w:ascii="Arial" w:hAnsi="Arial" w:cs="Arial"/>
                <w:iCs/>
                <w:sz w:val="22"/>
                <w:szCs w:val="22"/>
              </w:rPr>
            </w:pPr>
            <w:r w:rsidRPr="00330F7B">
              <w:rPr>
                <w:rFonts w:ascii="Arial" w:hAnsi="Arial" w:cs="Arial"/>
                <w:iCs/>
                <w:sz w:val="22"/>
                <w:szCs w:val="22"/>
              </w:rPr>
              <w:t>Revenue</w:t>
            </w:r>
            <w:r>
              <w:rPr>
                <w:rFonts w:ascii="Arial" w:hAnsi="Arial" w:cs="Arial"/>
                <w:iCs/>
                <w:sz w:val="22"/>
                <w:szCs w:val="22"/>
              </w:rPr>
              <w:t xml:space="preserve"> Contributions (Housing)</w:t>
            </w:r>
          </w:p>
        </w:tc>
        <w:tc>
          <w:tcPr>
            <w:tcW w:w="1276" w:type="dxa"/>
          </w:tcPr>
          <w:p w:rsidR="00F45AC7" w:rsidRPr="0093753A" w:rsidRDefault="008E3D9A" w:rsidP="0093753A">
            <w:pPr>
              <w:pStyle w:val="BodyText"/>
              <w:spacing w:after="0"/>
              <w:jc w:val="right"/>
              <w:rPr>
                <w:rFonts w:ascii="Arial" w:hAnsi="Arial" w:cs="Arial"/>
                <w:sz w:val="22"/>
                <w:szCs w:val="22"/>
              </w:rPr>
            </w:pPr>
            <w:r w:rsidRPr="0093753A">
              <w:rPr>
                <w:rFonts w:ascii="Arial" w:hAnsi="Arial" w:cs="Arial"/>
                <w:sz w:val="22"/>
                <w:szCs w:val="22"/>
              </w:rPr>
              <w:t>1</w:t>
            </w:r>
            <w:r w:rsidR="0093753A" w:rsidRPr="0093753A">
              <w:rPr>
                <w:rFonts w:ascii="Arial" w:hAnsi="Arial" w:cs="Arial"/>
                <w:sz w:val="22"/>
                <w:szCs w:val="22"/>
              </w:rPr>
              <w:t>7</w:t>
            </w:r>
            <w:r w:rsidR="00FA4A06" w:rsidRPr="0093753A">
              <w:rPr>
                <w:rFonts w:ascii="Arial" w:hAnsi="Arial" w:cs="Arial"/>
                <w:sz w:val="22"/>
                <w:szCs w:val="22"/>
              </w:rPr>
              <w:t>.</w:t>
            </w:r>
            <w:r w:rsidR="0093753A" w:rsidRPr="0093753A">
              <w:rPr>
                <w:rFonts w:ascii="Arial" w:hAnsi="Arial" w:cs="Arial"/>
                <w:sz w:val="22"/>
                <w:szCs w:val="22"/>
              </w:rPr>
              <w:t>483</w:t>
            </w:r>
          </w:p>
        </w:tc>
        <w:tc>
          <w:tcPr>
            <w:tcW w:w="1134" w:type="dxa"/>
          </w:tcPr>
          <w:p w:rsidR="00F45AC7" w:rsidRPr="0093753A" w:rsidRDefault="0093753A" w:rsidP="0093753A">
            <w:pPr>
              <w:pStyle w:val="BodyText"/>
              <w:spacing w:after="0"/>
              <w:jc w:val="right"/>
              <w:rPr>
                <w:rFonts w:ascii="Arial" w:hAnsi="Arial" w:cs="Arial"/>
                <w:sz w:val="22"/>
                <w:szCs w:val="22"/>
              </w:rPr>
            </w:pPr>
            <w:r w:rsidRPr="0093753A">
              <w:rPr>
                <w:rFonts w:ascii="Arial" w:hAnsi="Arial" w:cs="Arial"/>
                <w:sz w:val="22"/>
                <w:szCs w:val="22"/>
              </w:rPr>
              <w:t>10.634</w:t>
            </w:r>
          </w:p>
        </w:tc>
        <w:tc>
          <w:tcPr>
            <w:tcW w:w="1134" w:type="dxa"/>
          </w:tcPr>
          <w:p w:rsidR="00F45AC7" w:rsidRPr="0093753A" w:rsidRDefault="0093753A" w:rsidP="0093753A">
            <w:pPr>
              <w:pStyle w:val="BodyText"/>
              <w:spacing w:after="0"/>
              <w:jc w:val="right"/>
              <w:rPr>
                <w:rFonts w:ascii="Arial" w:hAnsi="Arial" w:cs="Arial"/>
                <w:sz w:val="22"/>
                <w:szCs w:val="22"/>
              </w:rPr>
            </w:pPr>
            <w:r w:rsidRPr="0093753A">
              <w:rPr>
                <w:rFonts w:ascii="Arial" w:hAnsi="Arial" w:cs="Arial"/>
                <w:sz w:val="22"/>
                <w:szCs w:val="22"/>
              </w:rPr>
              <w:t>9</w:t>
            </w:r>
            <w:r w:rsidR="00F45AC7" w:rsidRPr="0093753A">
              <w:rPr>
                <w:rFonts w:ascii="Arial" w:hAnsi="Arial" w:cs="Arial"/>
                <w:sz w:val="22"/>
                <w:szCs w:val="22"/>
              </w:rPr>
              <w:t>.</w:t>
            </w:r>
            <w:r w:rsidRPr="0093753A">
              <w:rPr>
                <w:rFonts w:ascii="Arial" w:hAnsi="Arial" w:cs="Arial"/>
                <w:sz w:val="22"/>
                <w:szCs w:val="22"/>
              </w:rPr>
              <w:t>412</w:t>
            </w:r>
          </w:p>
        </w:tc>
        <w:tc>
          <w:tcPr>
            <w:tcW w:w="1140" w:type="dxa"/>
          </w:tcPr>
          <w:p w:rsidR="00F45AC7" w:rsidRPr="0093753A" w:rsidRDefault="0093753A" w:rsidP="0093753A">
            <w:pPr>
              <w:pStyle w:val="BodyText"/>
              <w:spacing w:after="0"/>
              <w:jc w:val="right"/>
              <w:rPr>
                <w:rFonts w:ascii="Arial" w:hAnsi="Arial" w:cs="Arial"/>
                <w:sz w:val="22"/>
                <w:szCs w:val="22"/>
              </w:rPr>
            </w:pPr>
            <w:r w:rsidRPr="0093753A">
              <w:rPr>
                <w:rFonts w:ascii="Arial" w:hAnsi="Arial" w:cs="Arial"/>
                <w:sz w:val="22"/>
                <w:szCs w:val="22"/>
              </w:rPr>
              <w:t>8.900</w:t>
            </w:r>
          </w:p>
        </w:tc>
      </w:tr>
      <w:tr w:rsidR="00F45AC7" w:rsidRPr="00330F7B" w:rsidTr="00F45AC7">
        <w:tc>
          <w:tcPr>
            <w:tcW w:w="2660" w:type="dxa"/>
          </w:tcPr>
          <w:p w:rsidR="00F45AC7" w:rsidRPr="00EF18FB" w:rsidRDefault="00F45AC7" w:rsidP="005804A2">
            <w:pPr>
              <w:pStyle w:val="BodyText"/>
              <w:spacing w:after="0"/>
              <w:rPr>
                <w:rFonts w:ascii="Arial" w:hAnsi="Arial" w:cs="Arial"/>
                <w:b/>
                <w:iCs/>
                <w:sz w:val="22"/>
                <w:szCs w:val="22"/>
              </w:rPr>
            </w:pPr>
            <w:r w:rsidRPr="00EF18FB">
              <w:rPr>
                <w:rFonts w:ascii="Arial" w:hAnsi="Arial" w:cs="Arial"/>
                <w:b/>
                <w:iCs/>
                <w:sz w:val="22"/>
                <w:szCs w:val="22"/>
              </w:rPr>
              <w:t>Total excluding borrowing</w:t>
            </w:r>
          </w:p>
        </w:tc>
        <w:tc>
          <w:tcPr>
            <w:tcW w:w="1276" w:type="dxa"/>
          </w:tcPr>
          <w:p w:rsidR="00F45AC7" w:rsidRPr="0093753A" w:rsidRDefault="0093753A" w:rsidP="0093753A">
            <w:pPr>
              <w:pStyle w:val="BodyText"/>
              <w:spacing w:after="0"/>
              <w:jc w:val="right"/>
              <w:rPr>
                <w:rFonts w:ascii="Arial" w:hAnsi="Arial" w:cs="Arial"/>
                <w:b/>
                <w:sz w:val="22"/>
                <w:szCs w:val="22"/>
              </w:rPr>
            </w:pPr>
            <w:r w:rsidRPr="0093753A">
              <w:rPr>
                <w:rFonts w:ascii="Arial" w:hAnsi="Arial" w:cs="Arial"/>
                <w:b/>
                <w:sz w:val="22"/>
                <w:szCs w:val="22"/>
              </w:rPr>
              <w:t>33</w:t>
            </w:r>
            <w:r w:rsidR="00FA4A06" w:rsidRPr="0093753A">
              <w:rPr>
                <w:rFonts w:ascii="Arial" w:hAnsi="Arial" w:cs="Arial"/>
                <w:b/>
                <w:sz w:val="22"/>
                <w:szCs w:val="22"/>
              </w:rPr>
              <w:t>.</w:t>
            </w:r>
            <w:r w:rsidRPr="0093753A">
              <w:rPr>
                <w:rFonts w:ascii="Arial" w:hAnsi="Arial" w:cs="Arial"/>
                <w:b/>
                <w:sz w:val="22"/>
                <w:szCs w:val="22"/>
              </w:rPr>
              <w:t>427</w:t>
            </w:r>
          </w:p>
        </w:tc>
        <w:tc>
          <w:tcPr>
            <w:tcW w:w="1134" w:type="dxa"/>
          </w:tcPr>
          <w:p w:rsidR="00F45AC7" w:rsidRPr="0093753A" w:rsidRDefault="0093753A" w:rsidP="0093753A">
            <w:pPr>
              <w:pStyle w:val="BodyText"/>
              <w:spacing w:after="0"/>
              <w:jc w:val="right"/>
              <w:rPr>
                <w:rFonts w:ascii="Arial" w:hAnsi="Arial" w:cs="Arial"/>
                <w:b/>
                <w:sz w:val="22"/>
                <w:szCs w:val="22"/>
              </w:rPr>
            </w:pPr>
            <w:r w:rsidRPr="0093753A">
              <w:rPr>
                <w:rFonts w:ascii="Arial" w:hAnsi="Arial" w:cs="Arial"/>
                <w:b/>
                <w:sz w:val="22"/>
                <w:szCs w:val="22"/>
              </w:rPr>
              <w:t>18</w:t>
            </w:r>
            <w:r w:rsidR="00F45AC7" w:rsidRPr="0093753A">
              <w:rPr>
                <w:rFonts w:ascii="Arial" w:hAnsi="Arial" w:cs="Arial"/>
                <w:b/>
                <w:sz w:val="22"/>
                <w:szCs w:val="22"/>
              </w:rPr>
              <w:t>.</w:t>
            </w:r>
            <w:r w:rsidRPr="0093753A">
              <w:rPr>
                <w:rFonts w:ascii="Arial" w:hAnsi="Arial" w:cs="Arial"/>
                <w:b/>
                <w:sz w:val="22"/>
                <w:szCs w:val="22"/>
              </w:rPr>
              <w:t>449</w:t>
            </w:r>
          </w:p>
        </w:tc>
        <w:tc>
          <w:tcPr>
            <w:tcW w:w="1134" w:type="dxa"/>
          </w:tcPr>
          <w:p w:rsidR="00F45AC7" w:rsidRPr="0093753A" w:rsidRDefault="00F45AC7" w:rsidP="0093753A">
            <w:pPr>
              <w:pStyle w:val="BodyText"/>
              <w:spacing w:after="0"/>
              <w:jc w:val="right"/>
              <w:rPr>
                <w:rFonts w:ascii="Arial" w:hAnsi="Arial" w:cs="Arial"/>
                <w:b/>
                <w:sz w:val="22"/>
                <w:szCs w:val="22"/>
              </w:rPr>
            </w:pPr>
            <w:r w:rsidRPr="0093753A">
              <w:rPr>
                <w:rFonts w:ascii="Arial" w:hAnsi="Arial" w:cs="Arial"/>
                <w:b/>
                <w:sz w:val="22"/>
                <w:szCs w:val="22"/>
              </w:rPr>
              <w:t>1</w:t>
            </w:r>
            <w:r w:rsidR="0093753A" w:rsidRPr="0093753A">
              <w:rPr>
                <w:rFonts w:ascii="Arial" w:hAnsi="Arial" w:cs="Arial"/>
                <w:b/>
                <w:sz w:val="22"/>
                <w:szCs w:val="22"/>
              </w:rPr>
              <w:t>5.146</w:t>
            </w:r>
          </w:p>
        </w:tc>
        <w:tc>
          <w:tcPr>
            <w:tcW w:w="1140" w:type="dxa"/>
          </w:tcPr>
          <w:p w:rsidR="00F45AC7" w:rsidRPr="0093753A" w:rsidRDefault="00F45AC7" w:rsidP="0093753A">
            <w:pPr>
              <w:pStyle w:val="BodyText"/>
              <w:spacing w:after="0"/>
              <w:jc w:val="right"/>
              <w:rPr>
                <w:rFonts w:ascii="Arial" w:hAnsi="Arial" w:cs="Arial"/>
                <w:b/>
                <w:sz w:val="22"/>
                <w:szCs w:val="22"/>
              </w:rPr>
            </w:pPr>
            <w:r w:rsidRPr="0093753A">
              <w:rPr>
                <w:rFonts w:ascii="Arial" w:hAnsi="Arial" w:cs="Arial"/>
                <w:b/>
                <w:sz w:val="22"/>
                <w:szCs w:val="22"/>
              </w:rPr>
              <w:t>1</w:t>
            </w:r>
            <w:r w:rsidR="0093753A" w:rsidRPr="0093753A">
              <w:rPr>
                <w:rFonts w:ascii="Arial" w:hAnsi="Arial" w:cs="Arial"/>
                <w:b/>
                <w:sz w:val="22"/>
                <w:szCs w:val="22"/>
              </w:rPr>
              <w:t>3</w:t>
            </w:r>
            <w:r w:rsidRPr="0093753A">
              <w:rPr>
                <w:rFonts w:ascii="Arial" w:hAnsi="Arial" w:cs="Arial"/>
                <w:b/>
                <w:sz w:val="22"/>
                <w:szCs w:val="22"/>
              </w:rPr>
              <w:t>.</w:t>
            </w:r>
            <w:r w:rsidR="0093753A" w:rsidRPr="0093753A">
              <w:rPr>
                <w:rFonts w:ascii="Arial" w:hAnsi="Arial" w:cs="Arial"/>
                <w:b/>
                <w:sz w:val="22"/>
                <w:szCs w:val="22"/>
              </w:rPr>
              <w:t>133</w:t>
            </w:r>
          </w:p>
        </w:tc>
      </w:tr>
      <w:tr w:rsidR="00F45AC7" w:rsidRPr="00330F7B" w:rsidTr="00F45AC7">
        <w:tc>
          <w:tcPr>
            <w:tcW w:w="2660" w:type="dxa"/>
          </w:tcPr>
          <w:p w:rsidR="00F45AC7" w:rsidRPr="002D4E8C" w:rsidRDefault="00F45AC7" w:rsidP="005804A2">
            <w:pPr>
              <w:pStyle w:val="BodyText"/>
              <w:spacing w:after="0"/>
              <w:rPr>
                <w:rFonts w:ascii="Arial" w:hAnsi="Arial" w:cs="Arial"/>
                <w:b/>
                <w:iCs/>
                <w:szCs w:val="24"/>
              </w:rPr>
            </w:pPr>
            <w:r w:rsidRPr="002D4E8C">
              <w:rPr>
                <w:rFonts w:ascii="Arial" w:hAnsi="Arial" w:cs="Arial"/>
                <w:b/>
                <w:szCs w:val="24"/>
              </w:rPr>
              <w:t>Borrowing</w:t>
            </w:r>
            <w:r w:rsidR="00FA4A06">
              <w:rPr>
                <w:rFonts w:ascii="Arial" w:hAnsi="Arial" w:cs="Arial"/>
                <w:b/>
                <w:szCs w:val="24"/>
              </w:rPr>
              <w:t xml:space="preserve"> need</w:t>
            </w:r>
          </w:p>
        </w:tc>
        <w:tc>
          <w:tcPr>
            <w:tcW w:w="1276" w:type="dxa"/>
          </w:tcPr>
          <w:p w:rsidR="00F45AC7" w:rsidRPr="0093753A" w:rsidRDefault="007D0828" w:rsidP="007D0828">
            <w:pPr>
              <w:pStyle w:val="BodyText"/>
              <w:spacing w:after="0"/>
              <w:jc w:val="right"/>
              <w:rPr>
                <w:rFonts w:ascii="Arial" w:hAnsi="Arial" w:cs="Arial"/>
                <w:b/>
                <w:szCs w:val="24"/>
              </w:rPr>
            </w:pPr>
            <w:r>
              <w:rPr>
                <w:rFonts w:ascii="Arial" w:hAnsi="Arial" w:cs="Arial"/>
                <w:b/>
                <w:szCs w:val="24"/>
              </w:rPr>
              <w:t>5</w:t>
            </w:r>
            <w:r w:rsidR="00FA4A06" w:rsidRPr="0093753A">
              <w:rPr>
                <w:rFonts w:ascii="Arial" w:hAnsi="Arial" w:cs="Arial"/>
                <w:b/>
                <w:szCs w:val="24"/>
              </w:rPr>
              <w:t>.</w:t>
            </w:r>
            <w:r w:rsidR="0093753A" w:rsidRPr="0093753A">
              <w:rPr>
                <w:rFonts w:ascii="Arial" w:hAnsi="Arial" w:cs="Arial"/>
                <w:b/>
                <w:szCs w:val="24"/>
              </w:rPr>
              <w:t>000</w:t>
            </w:r>
          </w:p>
        </w:tc>
        <w:tc>
          <w:tcPr>
            <w:tcW w:w="1134" w:type="dxa"/>
          </w:tcPr>
          <w:p w:rsidR="00F45AC7" w:rsidRPr="0093753A" w:rsidRDefault="007D0828" w:rsidP="007D0828">
            <w:pPr>
              <w:pStyle w:val="BodyText"/>
              <w:spacing w:after="0"/>
              <w:jc w:val="right"/>
              <w:rPr>
                <w:rFonts w:ascii="Arial" w:hAnsi="Arial" w:cs="Arial"/>
                <w:b/>
                <w:szCs w:val="24"/>
              </w:rPr>
            </w:pPr>
            <w:r>
              <w:rPr>
                <w:rFonts w:ascii="Arial" w:hAnsi="Arial" w:cs="Arial"/>
                <w:b/>
                <w:szCs w:val="24"/>
              </w:rPr>
              <w:t>15</w:t>
            </w:r>
            <w:r w:rsidR="00F45AC7" w:rsidRPr="0093753A">
              <w:rPr>
                <w:rFonts w:ascii="Arial" w:hAnsi="Arial" w:cs="Arial"/>
                <w:b/>
                <w:szCs w:val="24"/>
              </w:rPr>
              <w:t>.</w:t>
            </w:r>
            <w:r w:rsidR="0093753A" w:rsidRPr="0093753A">
              <w:rPr>
                <w:rFonts w:ascii="Arial" w:hAnsi="Arial" w:cs="Arial"/>
                <w:b/>
                <w:szCs w:val="24"/>
              </w:rPr>
              <w:t>7</w:t>
            </w:r>
            <w:r w:rsidR="00F45AC7" w:rsidRPr="0093753A">
              <w:rPr>
                <w:rFonts w:ascii="Arial" w:hAnsi="Arial" w:cs="Arial"/>
                <w:b/>
                <w:szCs w:val="24"/>
              </w:rPr>
              <w:t>00</w:t>
            </w:r>
          </w:p>
        </w:tc>
        <w:tc>
          <w:tcPr>
            <w:tcW w:w="1134" w:type="dxa"/>
          </w:tcPr>
          <w:p w:rsidR="00F45AC7" w:rsidRPr="0093753A" w:rsidRDefault="007D0828" w:rsidP="007D0828">
            <w:pPr>
              <w:pStyle w:val="BodyText"/>
              <w:spacing w:after="0"/>
              <w:jc w:val="right"/>
              <w:rPr>
                <w:rFonts w:ascii="Arial" w:hAnsi="Arial" w:cs="Arial"/>
                <w:b/>
                <w:szCs w:val="24"/>
              </w:rPr>
            </w:pPr>
            <w:r>
              <w:rPr>
                <w:rFonts w:ascii="Arial" w:hAnsi="Arial" w:cs="Arial"/>
                <w:b/>
                <w:szCs w:val="24"/>
              </w:rPr>
              <w:t>0</w:t>
            </w:r>
            <w:r w:rsidR="00F45AC7" w:rsidRPr="0093753A">
              <w:rPr>
                <w:rFonts w:ascii="Arial" w:hAnsi="Arial" w:cs="Arial"/>
                <w:b/>
                <w:szCs w:val="24"/>
              </w:rPr>
              <w:t>.000</w:t>
            </w:r>
          </w:p>
        </w:tc>
        <w:tc>
          <w:tcPr>
            <w:tcW w:w="1140" w:type="dxa"/>
          </w:tcPr>
          <w:p w:rsidR="00F45AC7" w:rsidRPr="0093753A" w:rsidRDefault="00F45AC7" w:rsidP="005804A2">
            <w:pPr>
              <w:pStyle w:val="BodyText"/>
              <w:spacing w:after="0"/>
              <w:jc w:val="right"/>
              <w:rPr>
                <w:rFonts w:ascii="Arial" w:hAnsi="Arial" w:cs="Arial"/>
                <w:b/>
                <w:szCs w:val="24"/>
              </w:rPr>
            </w:pPr>
            <w:r w:rsidRPr="0093753A">
              <w:rPr>
                <w:rFonts w:ascii="Arial" w:hAnsi="Arial" w:cs="Arial"/>
                <w:b/>
                <w:szCs w:val="24"/>
              </w:rPr>
              <w:t>0.000</w:t>
            </w:r>
          </w:p>
        </w:tc>
      </w:tr>
    </w:tbl>
    <w:p w:rsidR="007A1170" w:rsidRDefault="007A1170" w:rsidP="005804A2">
      <w:pPr>
        <w:pStyle w:val="BodyText"/>
        <w:spacing w:after="0"/>
        <w:rPr>
          <w:rFonts w:ascii="Arial" w:hAnsi="Arial" w:cs="Arial"/>
          <w:b/>
          <w:szCs w:val="22"/>
        </w:rPr>
      </w:pPr>
    </w:p>
    <w:p w:rsidR="00116C42" w:rsidRDefault="00116C42" w:rsidP="005804A2">
      <w:pPr>
        <w:pStyle w:val="BodyText"/>
        <w:spacing w:after="0"/>
        <w:rPr>
          <w:rFonts w:ascii="Arial" w:hAnsi="Arial" w:cs="Arial"/>
          <w:b/>
          <w:szCs w:val="22"/>
        </w:rPr>
      </w:pPr>
    </w:p>
    <w:p w:rsidR="00330F7B" w:rsidRDefault="00FA4A06" w:rsidP="005804A2">
      <w:pPr>
        <w:pStyle w:val="BodyText"/>
        <w:spacing w:after="0"/>
        <w:rPr>
          <w:rFonts w:ascii="Arial" w:hAnsi="Arial" w:cs="Arial"/>
          <w:b/>
          <w:szCs w:val="22"/>
        </w:rPr>
      </w:pPr>
      <w:r>
        <w:rPr>
          <w:rFonts w:ascii="Arial" w:hAnsi="Arial" w:cs="Arial"/>
          <w:b/>
          <w:szCs w:val="22"/>
        </w:rPr>
        <w:lastRenderedPageBreak/>
        <w:t>T</w:t>
      </w:r>
      <w:r w:rsidR="00330F7B" w:rsidRPr="00330F7B">
        <w:rPr>
          <w:rFonts w:ascii="Arial" w:hAnsi="Arial" w:cs="Arial"/>
          <w:b/>
          <w:szCs w:val="22"/>
        </w:rPr>
        <w:t>he Council’s Borrowing Need (the Capital Financing Requirement)</w:t>
      </w:r>
    </w:p>
    <w:p w:rsidR="00116C42" w:rsidRDefault="00116C42" w:rsidP="005804A2">
      <w:pPr>
        <w:pStyle w:val="BodyText"/>
        <w:spacing w:after="0"/>
        <w:rPr>
          <w:rFonts w:ascii="Arial" w:hAnsi="Arial" w:cs="Arial"/>
          <w:b/>
          <w:szCs w:val="22"/>
        </w:rPr>
      </w:pPr>
    </w:p>
    <w:p w:rsidR="00330F7B" w:rsidRDefault="00330F7B" w:rsidP="005804A2">
      <w:pPr>
        <w:numPr>
          <w:ilvl w:val="0"/>
          <w:numId w:val="1"/>
        </w:numPr>
        <w:tabs>
          <w:tab w:val="num" w:pos="0"/>
        </w:tabs>
        <w:rPr>
          <w:rFonts w:ascii="Arial" w:hAnsi="Arial" w:cs="Arial"/>
          <w:szCs w:val="22"/>
        </w:rPr>
      </w:pPr>
      <w:r w:rsidRPr="00330F7B">
        <w:rPr>
          <w:rFonts w:ascii="Arial" w:hAnsi="Arial" w:cs="Arial"/>
          <w:szCs w:val="22"/>
        </w:rPr>
        <w:t xml:space="preserve">The second prudential indicator is the Council’s Capital Financing Requirement (CFR).  The CFR is simply the total historic outstanding capital expenditure which has not yet been paid for from either revenue or capital resources.  It is essentially a measure of the Council’s </w:t>
      </w:r>
      <w:r w:rsidR="007A1170">
        <w:rPr>
          <w:rFonts w:ascii="Arial" w:hAnsi="Arial" w:cs="Arial"/>
          <w:szCs w:val="22"/>
        </w:rPr>
        <w:t xml:space="preserve">indebtedness and so </w:t>
      </w:r>
      <w:proofErr w:type="gramStart"/>
      <w:r w:rsidR="007A1170">
        <w:rPr>
          <w:rFonts w:ascii="Arial" w:hAnsi="Arial" w:cs="Arial"/>
          <w:szCs w:val="22"/>
        </w:rPr>
        <w:t>its</w:t>
      </w:r>
      <w:proofErr w:type="gramEnd"/>
      <w:r w:rsidR="007A1170">
        <w:rPr>
          <w:rFonts w:ascii="Arial" w:hAnsi="Arial" w:cs="Arial"/>
          <w:szCs w:val="22"/>
        </w:rPr>
        <w:t xml:space="preserve"> </w:t>
      </w:r>
      <w:r w:rsidRPr="00330F7B">
        <w:rPr>
          <w:rFonts w:ascii="Arial" w:hAnsi="Arial" w:cs="Arial"/>
          <w:szCs w:val="22"/>
        </w:rPr>
        <w:t>underlying borrowing need.  Any capital expenditure above, which has not immediately been paid for</w:t>
      </w:r>
      <w:r w:rsidR="007A1170">
        <w:rPr>
          <w:rFonts w:ascii="Arial" w:hAnsi="Arial" w:cs="Arial"/>
          <w:szCs w:val="22"/>
        </w:rPr>
        <w:t xml:space="preserve"> through a revenue or capital resource</w:t>
      </w:r>
      <w:r w:rsidRPr="00330F7B">
        <w:rPr>
          <w:rFonts w:ascii="Arial" w:hAnsi="Arial" w:cs="Arial"/>
          <w:szCs w:val="22"/>
        </w:rPr>
        <w:t>, will increase the CFR.</w:t>
      </w:r>
    </w:p>
    <w:p w:rsidR="00330F7B" w:rsidRDefault="00330F7B" w:rsidP="005804A2">
      <w:pPr>
        <w:rPr>
          <w:rFonts w:ascii="Arial" w:hAnsi="Arial" w:cs="Arial"/>
          <w:szCs w:val="22"/>
        </w:rPr>
      </w:pPr>
    </w:p>
    <w:p w:rsidR="00330F7B" w:rsidRPr="00330F7B" w:rsidRDefault="00330F7B" w:rsidP="005804A2">
      <w:pPr>
        <w:numPr>
          <w:ilvl w:val="0"/>
          <w:numId w:val="1"/>
        </w:numPr>
        <w:tabs>
          <w:tab w:val="num" w:pos="0"/>
        </w:tabs>
        <w:rPr>
          <w:rFonts w:ascii="Arial" w:hAnsi="Arial" w:cs="Arial"/>
          <w:szCs w:val="22"/>
        </w:rPr>
      </w:pPr>
      <w:r>
        <w:rPr>
          <w:rFonts w:ascii="Arial" w:hAnsi="Arial" w:cs="Arial"/>
          <w:szCs w:val="22"/>
        </w:rPr>
        <w:t>The CFR does not increase indefinitely, as the minimum revenue provision (MRP) is a statutory annual revenue charge which broadly reduces the borrowing need in line with each asset life</w:t>
      </w:r>
      <w:r w:rsidR="000B071C">
        <w:rPr>
          <w:rFonts w:ascii="Arial" w:hAnsi="Arial" w:cs="Arial"/>
          <w:szCs w:val="22"/>
        </w:rPr>
        <w:t>, and so changes the economic consumption of capital assets as they are used</w:t>
      </w:r>
      <w:r>
        <w:rPr>
          <w:rFonts w:ascii="Arial" w:hAnsi="Arial" w:cs="Arial"/>
          <w:szCs w:val="22"/>
        </w:rPr>
        <w:t>.</w:t>
      </w:r>
    </w:p>
    <w:p w:rsidR="00330F7B" w:rsidRPr="00330F7B" w:rsidRDefault="00330F7B" w:rsidP="005804A2">
      <w:pPr>
        <w:rPr>
          <w:rFonts w:ascii="Arial" w:hAnsi="Arial" w:cs="Arial"/>
          <w:szCs w:val="22"/>
        </w:rPr>
      </w:pPr>
    </w:p>
    <w:p w:rsidR="003300BC" w:rsidRDefault="00330F7B" w:rsidP="00A937AB">
      <w:pPr>
        <w:numPr>
          <w:ilvl w:val="0"/>
          <w:numId w:val="1"/>
        </w:numPr>
        <w:tabs>
          <w:tab w:val="num" w:pos="0"/>
        </w:tabs>
        <w:overflowPunct/>
        <w:autoSpaceDE/>
        <w:autoSpaceDN/>
        <w:adjustRightInd/>
        <w:textAlignment w:val="auto"/>
        <w:rPr>
          <w:rFonts w:ascii="Arial" w:hAnsi="Arial" w:cs="Arial"/>
          <w:szCs w:val="22"/>
        </w:rPr>
      </w:pPr>
      <w:r w:rsidRPr="003300BC">
        <w:rPr>
          <w:rFonts w:ascii="Arial" w:hAnsi="Arial" w:cs="Arial"/>
          <w:szCs w:val="22"/>
        </w:rPr>
        <w:t>The CFR includes any other long</w:t>
      </w:r>
      <w:r w:rsidR="00F72292" w:rsidRPr="003300BC">
        <w:rPr>
          <w:rFonts w:ascii="Arial" w:hAnsi="Arial" w:cs="Arial"/>
          <w:szCs w:val="22"/>
        </w:rPr>
        <w:t>-</w:t>
      </w:r>
      <w:r w:rsidRPr="003300BC">
        <w:rPr>
          <w:rFonts w:ascii="Arial" w:hAnsi="Arial" w:cs="Arial"/>
          <w:szCs w:val="22"/>
        </w:rPr>
        <w:t>term liabilities (e.g. PFI schemes, finance leases) brought onto the balance sheet.  Whilst this increases the CFR, and therefore the Council’s borrowing requirement, these types of schemes include a borrowing facility</w:t>
      </w:r>
      <w:r w:rsidR="00F72292" w:rsidRPr="003300BC">
        <w:rPr>
          <w:rFonts w:ascii="Arial" w:hAnsi="Arial" w:cs="Arial"/>
          <w:szCs w:val="22"/>
        </w:rPr>
        <w:t xml:space="preserve"> by the PFI or lease provider</w:t>
      </w:r>
      <w:r w:rsidRPr="003300BC">
        <w:rPr>
          <w:rFonts w:ascii="Arial" w:hAnsi="Arial" w:cs="Arial"/>
          <w:szCs w:val="22"/>
        </w:rPr>
        <w:t xml:space="preserve"> and so the Council is not required to separately borrow for these schemes.  The Council currently has £</w:t>
      </w:r>
      <w:r w:rsidR="007951D6" w:rsidRPr="00D159F1">
        <w:rPr>
          <w:rFonts w:ascii="Arial" w:hAnsi="Arial" w:cs="Arial"/>
          <w:szCs w:val="22"/>
        </w:rPr>
        <w:t>1</w:t>
      </w:r>
      <w:r w:rsidR="00D159F1" w:rsidRPr="00D159F1">
        <w:rPr>
          <w:rFonts w:ascii="Arial" w:hAnsi="Arial" w:cs="Arial"/>
          <w:szCs w:val="22"/>
        </w:rPr>
        <w:t>2</w:t>
      </w:r>
      <w:r w:rsidR="007951D6" w:rsidRPr="00D159F1">
        <w:rPr>
          <w:rFonts w:ascii="Arial" w:hAnsi="Arial" w:cs="Arial"/>
          <w:szCs w:val="22"/>
        </w:rPr>
        <w:t>.</w:t>
      </w:r>
      <w:r w:rsidR="00D159F1" w:rsidRPr="00D159F1">
        <w:rPr>
          <w:rFonts w:ascii="Arial" w:hAnsi="Arial" w:cs="Arial"/>
          <w:szCs w:val="22"/>
        </w:rPr>
        <w:t>653</w:t>
      </w:r>
      <w:r w:rsidR="00F72292" w:rsidRPr="00D159F1">
        <w:rPr>
          <w:rFonts w:ascii="Arial" w:hAnsi="Arial" w:cs="Arial"/>
          <w:szCs w:val="22"/>
        </w:rPr>
        <w:t>m</w:t>
      </w:r>
      <w:r w:rsidR="007E50BE" w:rsidRPr="003300BC">
        <w:rPr>
          <w:rFonts w:ascii="Arial" w:hAnsi="Arial" w:cs="Arial"/>
          <w:szCs w:val="22"/>
        </w:rPr>
        <w:t xml:space="preserve"> </w:t>
      </w:r>
      <w:r w:rsidRPr="003300BC">
        <w:rPr>
          <w:rFonts w:ascii="Arial" w:hAnsi="Arial" w:cs="Arial"/>
          <w:szCs w:val="22"/>
        </w:rPr>
        <w:t>of such schemes within the CFR.</w:t>
      </w:r>
    </w:p>
    <w:p w:rsidR="003300BC" w:rsidRDefault="003300BC" w:rsidP="003300BC">
      <w:pPr>
        <w:pStyle w:val="ListParagraph"/>
        <w:rPr>
          <w:rFonts w:ascii="Arial" w:hAnsi="Arial" w:cs="Arial"/>
        </w:rPr>
      </w:pPr>
    </w:p>
    <w:p w:rsidR="00330F7B" w:rsidRPr="003300BC" w:rsidRDefault="00330F7B" w:rsidP="00A937AB">
      <w:pPr>
        <w:numPr>
          <w:ilvl w:val="0"/>
          <w:numId w:val="1"/>
        </w:numPr>
        <w:tabs>
          <w:tab w:val="num" w:pos="0"/>
        </w:tabs>
        <w:overflowPunct/>
        <w:autoSpaceDE/>
        <w:autoSpaceDN/>
        <w:adjustRightInd/>
        <w:textAlignment w:val="auto"/>
        <w:rPr>
          <w:rFonts w:ascii="Arial" w:hAnsi="Arial" w:cs="Arial"/>
          <w:szCs w:val="22"/>
        </w:rPr>
      </w:pPr>
      <w:r w:rsidRPr="003300BC">
        <w:rPr>
          <w:rFonts w:ascii="Arial" w:hAnsi="Arial" w:cs="Arial"/>
          <w:szCs w:val="22"/>
        </w:rPr>
        <w:t>The Council is asked to approve the CFR projections below:</w:t>
      </w:r>
    </w:p>
    <w:p w:rsidR="007028F6" w:rsidRDefault="007028F6" w:rsidP="005804A2">
      <w:pPr>
        <w:pStyle w:val="ListParagraph"/>
        <w:rPr>
          <w:rFonts w:ascii="Arial" w:hAnsi="Arial" w:cs="Arial"/>
        </w:rPr>
      </w:pPr>
    </w:p>
    <w:p w:rsidR="00D465D6" w:rsidRDefault="00330F7B" w:rsidP="005804A2">
      <w:pPr>
        <w:rPr>
          <w:rFonts w:ascii="Arial" w:hAnsi="Arial" w:cs="Arial"/>
          <w:b/>
          <w:szCs w:val="22"/>
        </w:rPr>
      </w:pPr>
      <w:r w:rsidRPr="00330F7B">
        <w:rPr>
          <w:rFonts w:ascii="Arial" w:hAnsi="Arial" w:cs="Arial"/>
          <w:b/>
          <w:szCs w:val="22"/>
        </w:rPr>
        <w:t>Table 5 – CFR Projections</w:t>
      </w:r>
    </w:p>
    <w:p w:rsidR="00EE010F" w:rsidRPr="00330F7B" w:rsidRDefault="00EE010F" w:rsidP="005804A2">
      <w:pPr>
        <w:rPr>
          <w:rFonts w:ascii="Arial" w:hAnsi="Arial" w:cs="Arial"/>
          <w:b/>
          <w:szCs w:val="22"/>
        </w:rPr>
      </w:pPr>
    </w:p>
    <w:tbl>
      <w:tblPr>
        <w:tblW w:w="730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9"/>
        <w:gridCol w:w="1262"/>
        <w:gridCol w:w="1263"/>
        <w:gridCol w:w="1262"/>
        <w:gridCol w:w="1263"/>
      </w:tblGrid>
      <w:tr w:rsidR="000C1EE0" w:rsidRPr="00330F7B" w:rsidTr="00BE1632">
        <w:tc>
          <w:tcPr>
            <w:tcW w:w="2259" w:type="dxa"/>
            <w:shd w:val="clear" w:color="auto" w:fill="D9D9D9"/>
          </w:tcPr>
          <w:p w:rsidR="000C1EE0" w:rsidRPr="006B0386" w:rsidRDefault="000C1EE0" w:rsidP="005804A2">
            <w:pPr>
              <w:pStyle w:val="BodyText"/>
              <w:spacing w:after="0"/>
              <w:rPr>
                <w:rFonts w:ascii="Arial" w:hAnsi="Arial" w:cs="Arial"/>
                <w:sz w:val="22"/>
                <w:szCs w:val="22"/>
              </w:rPr>
            </w:pPr>
          </w:p>
        </w:tc>
        <w:tc>
          <w:tcPr>
            <w:tcW w:w="1262" w:type="dxa"/>
            <w:shd w:val="clear" w:color="auto" w:fill="D9D9D9"/>
          </w:tcPr>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201</w:t>
            </w:r>
            <w:r w:rsidR="00F72292">
              <w:rPr>
                <w:rFonts w:ascii="Arial" w:hAnsi="Arial" w:cs="Arial"/>
                <w:b/>
                <w:bCs/>
                <w:sz w:val="22"/>
                <w:szCs w:val="22"/>
              </w:rPr>
              <w:t>8</w:t>
            </w:r>
            <w:r>
              <w:rPr>
                <w:rFonts w:ascii="Arial" w:hAnsi="Arial" w:cs="Arial"/>
                <w:b/>
                <w:bCs/>
                <w:sz w:val="22"/>
                <w:szCs w:val="22"/>
              </w:rPr>
              <w:t>/1</w:t>
            </w:r>
            <w:r w:rsidR="00F72292">
              <w:rPr>
                <w:rFonts w:ascii="Arial" w:hAnsi="Arial" w:cs="Arial"/>
                <w:b/>
                <w:bCs/>
                <w:sz w:val="22"/>
                <w:szCs w:val="22"/>
              </w:rPr>
              <w:t>9</w:t>
            </w:r>
          </w:p>
          <w:p w:rsidR="00F45AC7" w:rsidRDefault="00F45AC7" w:rsidP="000C1EE0">
            <w:pPr>
              <w:pStyle w:val="BodyText"/>
              <w:spacing w:after="0"/>
              <w:jc w:val="center"/>
              <w:rPr>
                <w:rFonts w:ascii="Arial" w:hAnsi="Arial" w:cs="Arial"/>
                <w:b/>
                <w:bCs/>
                <w:sz w:val="22"/>
                <w:szCs w:val="22"/>
              </w:rPr>
            </w:pPr>
            <w:r>
              <w:rPr>
                <w:rFonts w:ascii="Arial" w:hAnsi="Arial" w:cs="Arial"/>
                <w:b/>
                <w:bCs/>
                <w:sz w:val="22"/>
                <w:szCs w:val="22"/>
              </w:rPr>
              <w:t>Revised</w:t>
            </w:r>
          </w:p>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w:t>
            </w:r>
            <w:r w:rsidR="00F72292">
              <w:rPr>
                <w:rFonts w:ascii="Arial" w:hAnsi="Arial" w:cs="Arial"/>
                <w:b/>
                <w:bCs/>
                <w:sz w:val="22"/>
                <w:szCs w:val="22"/>
              </w:rPr>
              <w:t>m</w:t>
            </w:r>
          </w:p>
        </w:tc>
        <w:tc>
          <w:tcPr>
            <w:tcW w:w="1263" w:type="dxa"/>
            <w:shd w:val="clear" w:color="auto" w:fill="D9D9D9"/>
          </w:tcPr>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201</w:t>
            </w:r>
            <w:r w:rsidR="00F72292">
              <w:rPr>
                <w:rFonts w:ascii="Arial" w:hAnsi="Arial" w:cs="Arial"/>
                <w:b/>
                <w:bCs/>
                <w:sz w:val="22"/>
                <w:szCs w:val="22"/>
              </w:rPr>
              <w:t>9</w:t>
            </w:r>
            <w:r>
              <w:rPr>
                <w:rFonts w:ascii="Arial" w:hAnsi="Arial" w:cs="Arial"/>
                <w:b/>
                <w:bCs/>
                <w:sz w:val="22"/>
                <w:szCs w:val="22"/>
              </w:rPr>
              <w:t>/</w:t>
            </w:r>
            <w:r w:rsidR="00F72292">
              <w:rPr>
                <w:rFonts w:ascii="Arial" w:hAnsi="Arial" w:cs="Arial"/>
                <w:b/>
                <w:bCs/>
                <w:sz w:val="22"/>
                <w:szCs w:val="22"/>
              </w:rPr>
              <w:t>20</w:t>
            </w:r>
          </w:p>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Estimate £</w:t>
            </w:r>
            <w:r w:rsidR="00F72292">
              <w:rPr>
                <w:rFonts w:ascii="Arial" w:hAnsi="Arial" w:cs="Arial"/>
                <w:b/>
                <w:bCs/>
                <w:sz w:val="22"/>
                <w:szCs w:val="22"/>
              </w:rPr>
              <w:t>m</w:t>
            </w:r>
          </w:p>
        </w:tc>
        <w:tc>
          <w:tcPr>
            <w:tcW w:w="1262" w:type="dxa"/>
            <w:shd w:val="clear" w:color="auto" w:fill="D9D9D9"/>
          </w:tcPr>
          <w:p w:rsidR="000C1EE0" w:rsidRDefault="000C1EE0" w:rsidP="000C1EE0">
            <w:pPr>
              <w:pStyle w:val="BodyText"/>
              <w:spacing w:after="0"/>
              <w:jc w:val="center"/>
              <w:rPr>
                <w:rFonts w:ascii="Arial" w:hAnsi="Arial" w:cs="Arial"/>
                <w:b/>
                <w:bCs/>
                <w:sz w:val="22"/>
                <w:szCs w:val="22"/>
              </w:rPr>
            </w:pPr>
            <w:r>
              <w:rPr>
                <w:rFonts w:ascii="Arial" w:hAnsi="Arial" w:cs="Arial"/>
                <w:b/>
                <w:bCs/>
                <w:sz w:val="22"/>
                <w:szCs w:val="22"/>
              </w:rPr>
              <w:t>20</w:t>
            </w:r>
            <w:r w:rsidR="00F72292">
              <w:rPr>
                <w:rFonts w:ascii="Arial" w:hAnsi="Arial" w:cs="Arial"/>
                <w:b/>
                <w:bCs/>
                <w:sz w:val="22"/>
                <w:szCs w:val="22"/>
              </w:rPr>
              <w:t>20</w:t>
            </w:r>
            <w:r>
              <w:rPr>
                <w:rFonts w:ascii="Arial" w:hAnsi="Arial" w:cs="Arial"/>
                <w:b/>
                <w:bCs/>
                <w:sz w:val="22"/>
                <w:szCs w:val="22"/>
              </w:rPr>
              <w:t>/2</w:t>
            </w:r>
            <w:r w:rsidR="00F72292">
              <w:rPr>
                <w:rFonts w:ascii="Arial" w:hAnsi="Arial" w:cs="Arial"/>
                <w:b/>
                <w:bCs/>
                <w:sz w:val="22"/>
                <w:szCs w:val="22"/>
              </w:rPr>
              <w:t>1</w:t>
            </w:r>
          </w:p>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Estimate £</w:t>
            </w:r>
            <w:r w:rsidR="00F72292">
              <w:rPr>
                <w:rFonts w:ascii="Arial" w:hAnsi="Arial" w:cs="Arial"/>
                <w:b/>
                <w:bCs/>
                <w:sz w:val="22"/>
                <w:szCs w:val="22"/>
              </w:rPr>
              <w:t>m</w:t>
            </w:r>
          </w:p>
        </w:tc>
        <w:tc>
          <w:tcPr>
            <w:tcW w:w="1263" w:type="dxa"/>
            <w:shd w:val="clear" w:color="auto" w:fill="D9D9D9"/>
          </w:tcPr>
          <w:p w:rsidR="000C1EE0" w:rsidRPr="00330F7B" w:rsidRDefault="00073F3C" w:rsidP="000C1EE0">
            <w:pPr>
              <w:pStyle w:val="BodyText"/>
              <w:spacing w:after="0"/>
              <w:jc w:val="center"/>
              <w:rPr>
                <w:rFonts w:ascii="Arial" w:hAnsi="Arial" w:cs="Arial"/>
                <w:b/>
                <w:bCs/>
                <w:sz w:val="22"/>
                <w:szCs w:val="22"/>
              </w:rPr>
            </w:pPr>
            <w:r>
              <w:rPr>
                <w:rFonts w:ascii="Arial" w:hAnsi="Arial" w:cs="Arial"/>
                <w:b/>
                <w:bCs/>
                <w:sz w:val="22"/>
                <w:szCs w:val="22"/>
              </w:rPr>
              <w:t>202</w:t>
            </w:r>
            <w:r w:rsidR="00F72292">
              <w:rPr>
                <w:rFonts w:ascii="Arial" w:hAnsi="Arial" w:cs="Arial"/>
                <w:b/>
                <w:bCs/>
                <w:sz w:val="22"/>
                <w:szCs w:val="22"/>
              </w:rPr>
              <w:t>1</w:t>
            </w:r>
            <w:r>
              <w:rPr>
                <w:rFonts w:ascii="Arial" w:hAnsi="Arial" w:cs="Arial"/>
                <w:b/>
                <w:bCs/>
                <w:sz w:val="22"/>
                <w:szCs w:val="22"/>
              </w:rPr>
              <w:t>/2</w:t>
            </w:r>
            <w:r w:rsidR="00F72292">
              <w:rPr>
                <w:rFonts w:ascii="Arial" w:hAnsi="Arial" w:cs="Arial"/>
                <w:b/>
                <w:bCs/>
                <w:sz w:val="22"/>
                <w:szCs w:val="22"/>
              </w:rPr>
              <w:t>2</w:t>
            </w:r>
          </w:p>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Estimate £</w:t>
            </w:r>
            <w:r w:rsidR="00F72292">
              <w:rPr>
                <w:rFonts w:ascii="Arial" w:hAnsi="Arial" w:cs="Arial"/>
                <w:b/>
                <w:bCs/>
                <w:sz w:val="22"/>
                <w:szCs w:val="22"/>
              </w:rPr>
              <w:t>m</w:t>
            </w:r>
          </w:p>
        </w:tc>
      </w:tr>
      <w:tr w:rsidR="000C1EE0" w:rsidRPr="00330F7B" w:rsidTr="00BE1632">
        <w:tc>
          <w:tcPr>
            <w:tcW w:w="2259" w:type="dxa"/>
          </w:tcPr>
          <w:p w:rsidR="000C1EE0" w:rsidRPr="006B0386" w:rsidRDefault="000C1EE0" w:rsidP="005804A2">
            <w:pPr>
              <w:pStyle w:val="BodyText"/>
              <w:spacing w:after="0"/>
              <w:rPr>
                <w:rFonts w:ascii="Arial" w:hAnsi="Arial" w:cs="Arial"/>
                <w:sz w:val="22"/>
                <w:szCs w:val="22"/>
              </w:rPr>
            </w:pPr>
            <w:r w:rsidRPr="006B0386">
              <w:rPr>
                <w:rFonts w:ascii="Arial" w:hAnsi="Arial" w:cs="Arial"/>
                <w:sz w:val="22"/>
                <w:szCs w:val="22"/>
              </w:rPr>
              <w:t>CFR – General Fund</w:t>
            </w:r>
          </w:p>
        </w:tc>
        <w:tc>
          <w:tcPr>
            <w:tcW w:w="1262" w:type="dxa"/>
          </w:tcPr>
          <w:p w:rsidR="000C1EE0" w:rsidRPr="003802BA" w:rsidRDefault="00FA4A06" w:rsidP="00ED2188">
            <w:pPr>
              <w:pStyle w:val="BodyText"/>
              <w:spacing w:after="0"/>
              <w:jc w:val="right"/>
              <w:rPr>
                <w:rFonts w:ascii="Arial" w:hAnsi="Arial" w:cs="Arial"/>
                <w:sz w:val="22"/>
                <w:szCs w:val="22"/>
              </w:rPr>
            </w:pPr>
            <w:r w:rsidRPr="003802BA">
              <w:rPr>
                <w:rFonts w:ascii="Arial" w:hAnsi="Arial" w:cs="Arial"/>
                <w:sz w:val="22"/>
                <w:szCs w:val="22"/>
              </w:rPr>
              <w:t>1</w:t>
            </w:r>
            <w:r w:rsidR="00ED2188">
              <w:rPr>
                <w:rFonts w:ascii="Arial" w:hAnsi="Arial" w:cs="Arial"/>
                <w:sz w:val="22"/>
                <w:szCs w:val="22"/>
              </w:rPr>
              <w:t>32</w:t>
            </w:r>
            <w:r w:rsidRPr="003802BA">
              <w:rPr>
                <w:rFonts w:ascii="Arial" w:hAnsi="Arial" w:cs="Arial"/>
                <w:sz w:val="22"/>
                <w:szCs w:val="22"/>
              </w:rPr>
              <w:t>.</w:t>
            </w:r>
            <w:r w:rsidR="003802BA" w:rsidRPr="003802BA">
              <w:rPr>
                <w:rFonts w:ascii="Arial" w:hAnsi="Arial" w:cs="Arial"/>
                <w:sz w:val="22"/>
                <w:szCs w:val="22"/>
              </w:rPr>
              <w:t>23</w:t>
            </w:r>
            <w:r w:rsidR="007D0828">
              <w:rPr>
                <w:rFonts w:ascii="Arial" w:hAnsi="Arial" w:cs="Arial"/>
                <w:sz w:val="22"/>
                <w:szCs w:val="22"/>
              </w:rPr>
              <w:t>8</w:t>
            </w:r>
          </w:p>
        </w:tc>
        <w:tc>
          <w:tcPr>
            <w:tcW w:w="1263" w:type="dxa"/>
          </w:tcPr>
          <w:p w:rsidR="000C1EE0" w:rsidRPr="003802BA" w:rsidRDefault="004A6E62" w:rsidP="00ED2188">
            <w:pPr>
              <w:pStyle w:val="BodyText"/>
              <w:spacing w:after="0"/>
              <w:jc w:val="right"/>
              <w:rPr>
                <w:rFonts w:ascii="Arial" w:hAnsi="Arial" w:cs="Arial"/>
                <w:sz w:val="22"/>
                <w:szCs w:val="22"/>
              </w:rPr>
            </w:pPr>
            <w:r w:rsidRPr="003802BA">
              <w:rPr>
                <w:rFonts w:ascii="Arial" w:hAnsi="Arial" w:cs="Arial"/>
                <w:sz w:val="22"/>
                <w:szCs w:val="22"/>
              </w:rPr>
              <w:t>1</w:t>
            </w:r>
            <w:r w:rsidR="00ED2188">
              <w:rPr>
                <w:rFonts w:ascii="Arial" w:hAnsi="Arial" w:cs="Arial"/>
                <w:sz w:val="22"/>
                <w:szCs w:val="22"/>
              </w:rPr>
              <w:t>37</w:t>
            </w:r>
            <w:r w:rsidRPr="003802BA">
              <w:rPr>
                <w:rFonts w:ascii="Arial" w:hAnsi="Arial" w:cs="Arial"/>
                <w:sz w:val="22"/>
                <w:szCs w:val="22"/>
              </w:rPr>
              <w:t>.</w:t>
            </w:r>
            <w:r w:rsidR="003802BA" w:rsidRPr="003802BA">
              <w:rPr>
                <w:rFonts w:ascii="Arial" w:hAnsi="Arial" w:cs="Arial"/>
                <w:sz w:val="22"/>
                <w:szCs w:val="22"/>
              </w:rPr>
              <w:t>23</w:t>
            </w:r>
            <w:r w:rsidR="007D0828">
              <w:rPr>
                <w:rFonts w:ascii="Arial" w:hAnsi="Arial" w:cs="Arial"/>
                <w:sz w:val="22"/>
                <w:szCs w:val="22"/>
              </w:rPr>
              <w:t>8</w:t>
            </w:r>
          </w:p>
        </w:tc>
        <w:tc>
          <w:tcPr>
            <w:tcW w:w="1262" w:type="dxa"/>
          </w:tcPr>
          <w:p w:rsidR="000C1EE0" w:rsidRPr="003802BA" w:rsidRDefault="00073F3C" w:rsidP="00ED2188">
            <w:pPr>
              <w:pStyle w:val="BodyText"/>
              <w:spacing w:after="0"/>
              <w:jc w:val="right"/>
              <w:rPr>
                <w:rFonts w:ascii="Arial" w:hAnsi="Arial" w:cs="Arial"/>
                <w:sz w:val="22"/>
                <w:szCs w:val="22"/>
              </w:rPr>
            </w:pPr>
            <w:r w:rsidRPr="003802BA">
              <w:rPr>
                <w:rFonts w:ascii="Arial" w:hAnsi="Arial" w:cs="Arial"/>
                <w:sz w:val="22"/>
                <w:szCs w:val="22"/>
              </w:rPr>
              <w:t>1</w:t>
            </w:r>
            <w:r w:rsidR="00ED2188">
              <w:rPr>
                <w:rFonts w:ascii="Arial" w:hAnsi="Arial" w:cs="Arial"/>
                <w:sz w:val="22"/>
                <w:szCs w:val="22"/>
              </w:rPr>
              <w:t>37</w:t>
            </w:r>
            <w:r w:rsidRPr="003802BA">
              <w:rPr>
                <w:rFonts w:ascii="Arial" w:hAnsi="Arial" w:cs="Arial"/>
                <w:sz w:val="22"/>
                <w:szCs w:val="22"/>
              </w:rPr>
              <w:t>.</w:t>
            </w:r>
            <w:r w:rsidR="003802BA" w:rsidRPr="003802BA">
              <w:rPr>
                <w:rFonts w:ascii="Arial" w:hAnsi="Arial" w:cs="Arial"/>
                <w:sz w:val="22"/>
                <w:szCs w:val="22"/>
              </w:rPr>
              <w:t>23</w:t>
            </w:r>
            <w:r w:rsidR="007D0828">
              <w:rPr>
                <w:rFonts w:ascii="Arial" w:hAnsi="Arial" w:cs="Arial"/>
                <w:sz w:val="22"/>
                <w:szCs w:val="22"/>
              </w:rPr>
              <w:t>8</w:t>
            </w:r>
          </w:p>
        </w:tc>
        <w:tc>
          <w:tcPr>
            <w:tcW w:w="1263" w:type="dxa"/>
          </w:tcPr>
          <w:p w:rsidR="000C1EE0" w:rsidRPr="003802BA" w:rsidRDefault="00073F3C" w:rsidP="00ED2188">
            <w:pPr>
              <w:pStyle w:val="BodyText"/>
              <w:spacing w:after="0"/>
              <w:jc w:val="right"/>
              <w:rPr>
                <w:rFonts w:ascii="Arial" w:hAnsi="Arial" w:cs="Arial"/>
                <w:sz w:val="22"/>
                <w:szCs w:val="22"/>
              </w:rPr>
            </w:pPr>
            <w:r w:rsidRPr="003802BA">
              <w:rPr>
                <w:rFonts w:ascii="Arial" w:hAnsi="Arial" w:cs="Arial"/>
                <w:sz w:val="22"/>
                <w:szCs w:val="22"/>
              </w:rPr>
              <w:t>1</w:t>
            </w:r>
            <w:r w:rsidR="00ED2188">
              <w:rPr>
                <w:rFonts w:ascii="Arial" w:hAnsi="Arial" w:cs="Arial"/>
                <w:sz w:val="22"/>
                <w:szCs w:val="22"/>
              </w:rPr>
              <w:t>37</w:t>
            </w:r>
            <w:r w:rsidRPr="003802BA">
              <w:rPr>
                <w:rFonts w:ascii="Arial" w:hAnsi="Arial" w:cs="Arial"/>
                <w:sz w:val="22"/>
                <w:szCs w:val="22"/>
              </w:rPr>
              <w:t>.</w:t>
            </w:r>
            <w:r w:rsidR="003802BA" w:rsidRPr="003802BA">
              <w:rPr>
                <w:rFonts w:ascii="Arial" w:hAnsi="Arial" w:cs="Arial"/>
                <w:sz w:val="22"/>
                <w:szCs w:val="22"/>
              </w:rPr>
              <w:t>2</w:t>
            </w:r>
            <w:r w:rsidR="007D0828">
              <w:rPr>
                <w:rFonts w:ascii="Arial" w:hAnsi="Arial" w:cs="Arial"/>
                <w:sz w:val="22"/>
                <w:szCs w:val="22"/>
              </w:rPr>
              <w:t>38</w:t>
            </w:r>
          </w:p>
        </w:tc>
      </w:tr>
      <w:tr w:rsidR="000C1EE0" w:rsidRPr="00330F7B" w:rsidTr="00585D04">
        <w:trPr>
          <w:trHeight w:val="636"/>
        </w:trPr>
        <w:tc>
          <w:tcPr>
            <w:tcW w:w="2259" w:type="dxa"/>
          </w:tcPr>
          <w:p w:rsidR="000C1EE0" w:rsidRPr="006B0386" w:rsidRDefault="000C1EE0" w:rsidP="005804A2">
            <w:pPr>
              <w:pStyle w:val="BodyText"/>
              <w:spacing w:after="0"/>
              <w:rPr>
                <w:rFonts w:ascii="Arial" w:hAnsi="Arial" w:cs="Arial"/>
                <w:sz w:val="22"/>
                <w:szCs w:val="22"/>
              </w:rPr>
            </w:pPr>
            <w:r w:rsidRPr="006B0386">
              <w:rPr>
                <w:rFonts w:ascii="Arial" w:hAnsi="Arial" w:cs="Arial"/>
                <w:sz w:val="22"/>
                <w:szCs w:val="22"/>
              </w:rPr>
              <w:t>CFR – PFI and Finance leases</w:t>
            </w:r>
          </w:p>
        </w:tc>
        <w:tc>
          <w:tcPr>
            <w:tcW w:w="1262" w:type="dxa"/>
          </w:tcPr>
          <w:p w:rsidR="000C1EE0" w:rsidRPr="00A45B3A" w:rsidRDefault="00FA4A06" w:rsidP="00A45B3A">
            <w:pPr>
              <w:pStyle w:val="BodyText"/>
              <w:spacing w:after="0"/>
              <w:jc w:val="right"/>
              <w:rPr>
                <w:rFonts w:ascii="Arial" w:hAnsi="Arial" w:cs="Arial"/>
                <w:sz w:val="22"/>
                <w:szCs w:val="22"/>
              </w:rPr>
            </w:pPr>
            <w:r w:rsidRPr="00A45B3A">
              <w:rPr>
                <w:rFonts w:ascii="Arial" w:hAnsi="Arial" w:cs="Arial"/>
                <w:sz w:val="22"/>
                <w:szCs w:val="22"/>
              </w:rPr>
              <w:t>1</w:t>
            </w:r>
            <w:r w:rsidR="00A45B3A" w:rsidRPr="00A45B3A">
              <w:rPr>
                <w:rFonts w:ascii="Arial" w:hAnsi="Arial" w:cs="Arial"/>
                <w:sz w:val="22"/>
                <w:szCs w:val="22"/>
              </w:rPr>
              <w:t>2</w:t>
            </w:r>
            <w:r w:rsidRPr="00A45B3A">
              <w:rPr>
                <w:rFonts w:ascii="Arial" w:hAnsi="Arial" w:cs="Arial"/>
                <w:sz w:val="22"/>
                <w:szCs w:val="22"/>
              </w:rPr>
              <w:t>.</w:t>
            </w:r>
            <w:r w:rsidR="00A45B3A" w:rsidRPr="00A45B3A">
              <w:rPr>
                <w:rFonts w:ascii="Arial" w:hAnsi="Arial" w:cs="Arial"/>
                <w:sz w:val="22"/>
                <w:szCs w:val="22"/>
              </w:rPr>
              <w:t>653</w:t>
            </w:r>
          </w:p>
        </w:tc>
        <w:tc>
          <w:tcPr>
            <w:tcW w:w="1263" w:type="dxa"/>
          </w:tcPr>
          <w:p w:rsidR="000C1EE0" w:rsidRPr="00A45B3A" w:rsidRDefault="007951D6" w:rsidP="00A45B3A">
            <w:pPr>
              <w:pStyle w:val="BodyText"/>
              <w:spacing w:after="0"/>
              <w:jc w:val="right"/>
              <w:rPr>
                <w:rFonts w:ascii="Arial" w:hAnsi="Arial" w:cs="Arial"/>
                <w:sz w:val="22"/>
                <w:szCs w:val="22"/>
              </w:rPr>
            </w:pPr>
            <w:r w:rsidRPr="00A45B3A">
              <w:rPr>
                <w:rFonts w:ascii="Arial" w:hAnsi="Arial" w:cs="Arial"/>
                <w:sz w:val="22"/>
                <w:szCs w:val="22"/>
              </w:rPr>
              <w:t>1</w:t>
            </w:r>
            <w:r w:rsidR="00A45B3A" w:rsidRPr="00A45B3A">
              <w:rPr>
                <w:rFonts w:ascii="Arial" w:hAnsi="Arial" w:cs="Arial"/>
                <w:sz w:val="22"/>
                <w:szCs w:val="22"/>
              </w:rPr>
              <w:t>1</w:t>
            </w:r>
            <w:r w:rsidRPr="00A45B3A">
              <w:rPr>
                <w:rFonts w:ascii="Arial" w:hAnsi="Arial" w:cs="Arial"/>
                <w:sz w:val="22"/>
                <w:szCs w:val="22"/>
              </w:rPr>
              <w:t>.</w:t>
            </w:r>
            <w:r w:rsidR="00A45B3A" w:rsidRPr="00A45B3A">
              <w:rPr>
                <w:rFonts w:ascii="Arial" w:hAnsi="Arial" w:cs="Arial"/>
                <w:sz w:val="22"/>
                <w:szCs w:val="22"/>
              </w:rPr>
              <w:t>498</w:t>
            </w:r>
          </w:p>
        </w:tc>
        <w:tc>
          <w:tcPr>
            <w:tcW w:w="1262" w:type="dxa"/>
          </w:tcPr>
          <w:p w:rsidR="000C1EE0" w:rsidRPr="00A45B3A" w:rsidRDefault="007951D6" w:rsidP="00A45B3A">
            <w:pPr>
              <w:pStyle w:val="BodyText"/>
              <w:spacing w:after="0"/>
              <w:jc w:val="right"/>
              <w:rPr>
                <w:rFonts w:ascii="Arial" w:hAnsi="Arial" w:cs="Arial"/>
                <w:sz w:val="22"/>
                <w:szCs w:val="22"/>
              </w:rPr>
            </w:pPr>
            <w:r w:rsidRPr="00A45B3A">
              <w:rPr>
                <w:rFonts w:ascii="Arial" w:hAnsi="Arial" w:cs="Arial"/>
                <w:sz w:val="22"/>
                <w:szCs w:val="22"/>
              </w:rPr>
              <w:t>1</w:t>
            </w:r>
            <w:r w:rsidR="00A45B3A" w:rsidRPr="00A45B3A">
              <w:rPr>
                <w:rFonts w:ascii="Arial" w:hAnsi="Arial" w:cs="Arial"/>
                <w:sz w:val="22"/>
                <w:szCs w:val="22"/>
              </w:rPr>
              <w:t>0</w:t>
            </w:r>
            <w:r w:rsidRPr="00A45B3A">
              <w:rPr>
                <w:rFonts w:ascii="Arial" w:hAnsi="Arial" w:cs="Arial"/>
                <w:sz w:val="22"/>
                <w:szCs w:val="22"/>
              </w:rPr>
              <w:t>.</w:t>
            </w:r>
            <w:r w:rsidR="00A45B3A" w:rsidRPr="00A45B3A">
              <w:rPr>
                <w:rFonts w:ascii="Arial" w:hAnsi="Arial" w:cs="Arial"/>
                <w:sz w:val="22"/>
                <w:szCs w:val="22"/>
              </w:rPr>
              <w:t>358</w:t>
            </w:r>
          </w:p>
        </w:tc>
        <w:tc>
          <w:tcPr>
            <w:tcW w:w="1263" w:type="dxa"/>
          </w:tcPr>
          <w:p w:rsidR="000C1EE0" w:rsidRPr="00A45B3A" w:rsidRDefault="00A45B3A" w:rsidP="00A45B3A">
            <w:pPr>
              <w:pStyle w:val="BodyText"/>
              <w:spacing w:after="0"/>
              <w:jc w:val="right"/>
              <w:rPr>
                <w:rFonts w:ascii="Arial" w:hAnsi="Arial" w:cs="Arial"/>
                <w:sz w:val="22"/>
                <w:szCs w:val="22"/>
              </w:rPr>
            </w:pPr>
            <w:r w:rsidRPr="00A45B3A">
              <w:rPr>
                <w:rFonts w:ascii="Arial" w:hAnsi="Arial" w:cs="Arial"/>
                <w:sz w:val="22"/>
                <w:szCs w:val="22"/>
              </w:rPr>
              <w:t>9</w:t>
            </w:r>
            <w:r w:rsidR="007951D6" w:rsidRPr="00A45B3A">
              <w:rPr>
                <w:rFonts w:ascii="Arial" w:hAnsi="Arial" w:cs="Arial"/>
                <w:sz w:val="22"/>
                <w:szCs w:val="22"/>
              </w:rPr>
              <w:t>.</w:t>
            </w:r>
            <w:r w:rsidRPr="00A45B3A">
              <w:rPr>
                <w:rFonts w:ascii="Arial" w:hAnsi="Arial" w:cs="Arial"/>
                <w:sz w:val="22"/>
                <w:szCs w:val="22"/>
              </w:rPr>
              <w:t>218</w:t>
            </w:r>
          </w:p>
        </w:tc>
      </w:tr>
      <w:tr w:rsidR="000C1EE0" w:rsidRPr="00330F7B" w:rsidTr="00BE1632">
        <w:tc>
          <w:tcPr>
            <w:tcW w:w="2259" w:type="dxa"/>
          </w:tcPr>
          <w:p w:rsidR="000C1EE0" w:rsidRPr="006B0386" w:rsidRDefault="000C1EE0" w:rsidP="005804A2">
            <w:pPr>
              <w:pStyle w:val="BodyText"/>
              <w:spacing w:after="0"/>
              <w:rPr>
                <w:rFonts w:ascii="Arial" w:hAnsi="Arial" w:cs="Arial"/>
                <w:sz w:val="22"/>
                <w:szCs w:val="22"/>
              </w:rPr>
            </w:pPr>
            <w:r w:rsidRPr="006B0386">
              <w:rPr>
                <w:rFonts w:ascii="Arial" w:hAnsi="Arial" w:cs="Arial"/>
                <w:sz w:val="22"/>
                <w:szCs w:val="22"/>
              </w:rPr>
              <w:t>CFR - housing</w:t>
            </w:r>
          </w:p>
        </w:tc>
        <w:tc>
          <w:tcPr>
            <w:tcW w:w="1262" w:type="dxa"/>
          </w:tcPr>
          <w:p w:rsidR="000C1EE0" w:rsidRPr="00A45B3A" w:rsidRDefault="00A45B3A" w:rsidP="00A45B3A">
            <w:pPr>
              <w:pStyle w:val="BodyText"/>
              <w:spacing w:after="0"/>
              <w:jc w:val="right"/>
              <w:rPr>
                <w:rFonts w:ascii="Arial" w:hAnsi="Arial" w:cs="Arial"/>
                <w:sz w:val="22"/>
                <w:szCs w:val="22"/>
              </w:rPr>
            </w:pPr>
            <w:r w:rsidRPr="00A45B3A">
              <w:rPr>
                <w:rFonts w:ascii="Arial" w:hAnsi="Arial" w:cs="Arial"/>
                <w:sz w:val="22"/>
                <w:szCs w:val="22"/>
              </w:rPr>
              <w:t>69.596</w:t>
            </w:r>
          </w:p>
        </w:tc>
        <w:tc>
          <w:tcPr>
            <w:tcW w:w="1263" w:type="dxa"/>
          </w:tcPr>
          <w:p w:rsidR="000C1EE0" w:rsidRPr="00A45B3A" w:rsidRDefault="007951D6" w:rsidP="00A45B3A">
            <w:pPr>
              <w:pStyle w:val="BodyText"/>
              <w:spacing w:after="0"/>
              <w:jc w:val="right"/>
              <w:rPr>
                <w:rFonts w:ascii="Arial" w:hAnsi="Arial" w:cs="Arial"/>
                <w:sz w:val="22"/>
                <w:szCs w:val="22"/>
              </w:rPr>
            </w:pPr>
            <w:r w:rsidRPr="00A45B3A">
              <w:rPr>
                <w:rFonts w:ascii="Arial" w:hAnsi="Arial" w:cs="Arial"/>
                <w:sz w:val="22"/>
                <w:szCs w:val="22"/>
              </w:rPr>
              <w:t>6</w:t>
            </w:r>
            <w:r w:rsidR="00A45B3A" w:rsidRPr="00A45B3A">
              <w:rPr>
                <w:rFonts w:ascii="Arial" w:hAnsi="Arial" w:cs="Arial"/>
                <w:sz w:val="22"/>
                <w:szCs w:val="22"/>
              </w:rPr>
              <w:t>8</w:t>
            </w:r>
            <w:r w:rsidRPr="00A45B3A">
              <w:rPr>
                <w:rFonts w:ascii="Arial" w:hAnsi="Arial" w:cs="Arial"/>
                <w:sz w:val="22"/>
                <w:szCs w:val="22"/>
              </w:rPr>
              <w:t>.</w:t>
            </w:r>
            <w:r w:rsidR="00A45B3A" w:rsidRPr="00A45B3A">
              <w:rPr>
                <w:rFonts w:ascii="Arial" w:hAnsi="Arial" w:cs="Arial"/>
                <w:sz w:val="22"/>
                <w:szCs w:val="22"/>
              </w:rPr>
              <w:t>967</w:t>
            </w:r>
          </w:p>
        </w:tc>
        <w:tc>
          <w:tcPr>
            <w:tcW w:w="1262" w:type="dxa"/>
          </w:tcPr>
          <w:p w:rsidR="000C1EE0" w:rsidRPr="00A45B3A" w:rsidRDefault="007951D6" w:rsidP="00A45B3A">
            <w:pPr>
              <w:pStyle w:val="BodyText"/>
              <w:spacing w:after="0"/>
              <w:jc w:val="right"/>
              <w:rPr>
                <w:rFonts w:ascii="Arial" w:hAnsi="Arial" w:cs="Arial"/>
                <w:sz w:val="22"/>
                <w:szCs w:val="22"/>
              </w:rPr>
            </w:pPr>
            <w:r w:rsidRPr="00A45B3A">
              <w:rPr>
                <w:rFonts w:ascii="Arial" w:hAnsi="Arial" w:cs="Arial"/>
                <w:sz w:val="22"/>
                <w:szCs w:val="22"/>
              </w:rPr>
              <w:t>68.</w:t>
            </w:r>
            <w:r w:rsidR="00A45B3A" w:rsidRPr="00A45B3A">
              <w:rPr>
                <w:rFonts w:ascii="Arial" w:hAnsi="Arial" w:cs="Arial"/>
                <w:sz w:val="22"/>
                <w:szCs w:val="22"/>
              </w:rPr>
              <w:t>338</w:t>
            </w:r>
          </w:p>
        </w:tc>
        <w:tc>
          <w:tcPr>
            <w:tcW w:w="1263" w:type="dxa"/>
          </w:tcPr>
          <w:p w:rsidR="000C1EE0" w:rsidRPr="00A45B3A" w:rsidRDefault="007951D6" w:rsidP="00A45B3A">
            <w:pPr>
              <w:pStyle w:val="BodyText"/>
              <w:spacing w:after="0"/>
              <w:jc w:val="right"/>
              <w:rPr>
                <w:rFonts w:ascii="Arial" w:hAnsi="Arial" w:cs="Arial"/>
                <w:sz w:val="22"/>
                <w:szCs w:val="22"/>
              </w:rPr>
            </w:pPr>
            <w:r w:rsidRPr="00A45B3A">
              <w:rPr>
                <w:rFonts w:ascii="Arial" w:hAnsi="Arial" w:cs="Arial"/>
                <w:sz w:val="22"/>
                <w:szCs w:val="22"/>
              </w:rPr>
              <w:t>6</w:t>
            </w:r>
            <w:r w:rsidR="00A45B3A" w:rsidRPr="00A45B3A">
              <w:rPr>
                <w:rFonts w:ascii="Arial" w:hAnsi="Arial" w:cs="Arial"/>
                <w:sz w:val="22"/>
                <w:szCs w:val="22"/>
              </w:rPr>
              <w:t>7</w:t>
            </w:r>
            <w:r w:rsidRPr="00A45B3A">
              <w:rPr>
                <w:rFonts w:ascii="Arial" w:hAnsi="Arial" w:cs="Arial"/>
                <w:sz w:val="22"/>
                <w:szCs w:val="22"/>
              </w:rPr>
              <w:t>.</w:t>
            </w:r>
            <w:r w:rsidR="00A45B3A" w:rsidRPr="00A45B3A">
              <w:rPr>
                <w:rFonts w:ascii="Arial" w:hAnsi="Arial" w:cs="Arial"/>
                <w:sz w:val="22"/>
                <w:szCs w:val="22"/>
              </w:rPr>
              <w:t>709</w:t>
            </w:r>
          </w:p>
        </w:tc>
      </w:tr>
      <w:tr w:rsidR="000C1EE0" w:rsidRPr="00330F7B" w:rsidTr="00BE1632">
        <w:tc>
          <w:tcPr>
            <w:tcW w:w="2259" w:type="dxa"/>
          </w:tcPr>
          <w:p w:rsidR="000C1EE0" w:rsidRPr="006B0386" w:rsidRDefault="000C1EE0" w:rsidP="005804A2">
            <w:pPr>
              <w:pStyle w:val="BodyText"/>
              <w:spacing w:after="0"/>
              <w:rPr>
                <w:rFonts w:ascii="Arial" w:hAnsi="Arial" w:cs="Arial"/>
                <w:sz w:val="22"/>
                <w:szCs w:val="22"/>
              </w:rPr>
            </w:pPr>
            <w:r>
              <w:rPr>
                <w:rFonts w:ascii="Arial" w:hAnsi="Arial" w:cs="Arial"/>
                <w:sz w:val="22"/>
                <w:szCs w:val="22"/>
              </w:rPr>
              <w:t>CFR Loans to RSL’s</w:t>
            </w:r>
          </w:p>
        </w:tc>
        <w:tc>
          <w:tcPr>
            <w:tcW w:w="1262" w:type="dxa"/>
          </w:tcPr>
          <w:p w:rsidR="000C1EE0" w:rsidRPr="00A45B3A" w:rsidRDefault="00FA4A06" w:rsidP="005804A2">
            <w:pPr>
              <w:pStyle w:val="BodyText"/>
              <w:spacing w:after="0"/>
              <w:jc w:val="right"/>
              <w:rPr>
                <w:rFonts w:ascii="Arial" w:hAnsi="Arial" w:cs="Arial"/>
                <w:sz w:val="22"/>
                <w:szCs w:val="22"/>
              </w:rPr>
            </w:pPr>
            <w:r w:rsidRPr="00A45B3A">
              <w:rPr>
                <w:rFonts w:ascii="Arial" w:hAnsi="Arial" w:cs="Arial"/>
                <w:sz w:val="22"/>
                <w:szCs w:val="22"/>
              </w:rPr>
              <w:t>100.000</w:t>
            </w:r>
          </w:p>
        </w:tc>
        <w:tc>
          <w:tcPr>
            <w:tcW w:w="1263" w:type="dxa"/>
          </w:tcPr>
          <w:p w:rsidR="000C1EE0" w:rsidRPr="00A45B3A" w:rsidRDefault="007951D6" w:rsidP="005804A2">
            <w:pPr>
              <w:pStyle w:val="BodyText"/>
              <w:spacing w:after="0"/>
              <w:jc w:val="right"/>
              <w:rPr>
                <w:rFonts w:ascii="Arial" w:hAnsi="Arial" w:cs="Arial"/>
                <w:sz w:val="22"/>
                <w:szCs w:val="22"/>
              </w:rPr>
            </w:pPr>
            <w:r w:rsidRPr="00A45B3A">
              <w:rPr>
                <w:rFonts w:ascii="Arial" w:hAnsi="Arial" w:cs="Arial"/>
                <w:sz w:val="22"/>
                <w:szCs w:val="22"/>
              </w:rPr>
              <w:t>100.000</w:t>
            </w:r>
          </w:p>
        </w:tc>
        <w:tc>
          <w:tcPr>
            <w:tcW w:w="1262" w:type="dxa"/>
          </w:tcPr>
          <w:p w:rsidR="000C1EE0" w:rsidRPr="00A45B3A" w:rsidRDefault="007951D6" w:rsidP="005804A2">
            <w:pPr>
              <w:pStyle w:val="BodyText"/>
              <w:spacing w:after="0"/>
              <w:jc w:val="right"/>
              <w:rPr>
                <w:rFonts w:ascii="Arial" w:hAnsi="Arial" w:cs="Arial"/>
                <w:sz w:val="22"/>
                <w:szCs w:val="22"/>
              </w:rPr>
            </w:pPr>
            <w:r w:rsidRPr="00A45B3A">
              <w:rPr>
                <w:rFonts w:ascii="Arial" w:hAnsi="Arial" w:cs="Arial"/>
                <w:sz w:val="22"/>
                <w:szCs w:val="22"/>
              </w:rPr>
              <w:t>100.000</w:t>
            </w:r>
          </w:p>
        </w:tc>
        <w:tc>
          <w:tcPr>
            <w:tcW w:w="1263" w:type="dxa"/>
          </w:tcPr>
          <w:p w:rsidR="000C1EE0" w:rsidRPr="00A45B3A" w:rsidRDefault="007951D6" w:rsidP="005804A2">
            <w:pPr>
              <w:pStyle w:val="BodyText"/>
              <w:spacing w:after="0"/>
              <w:jc w:val="right"/>
              <w:rPr>
                <w:rFonts w:ascii="Arial" w:hAnsi="Arial" w:cs="Arial"/>
                <w:sz w:val="22"/>
                <w:szCs w:val="22"/>
              </w:rPr>
            </w:pPr>
            <w:r w:rsidRPr="00A45B3A">
              <w:rPr>
                <w:rFonts w:ascii="Arial" w:hAnsi="Arial" w:cs="Arial"/>
                <w:sz w:val="22"/>
                <w:szCs w:val="22"/>
              </w:rPr>
              <w:t>100.000</w:t>
            </w:r>
          </w:p>
        </w:tc>
      </w:tr>
      <w:tr w:rsidR="007951D6" w:rsidRPr="00330F7B" w:rsidTr="00BE1632">
        <w:tc>
          <w:tcPr>
            <w:tcW w:w="2259" w:type="dxa"/>
          </w:tcPr>
          <w:p w:rsidR="007951D6" w:rsidRDefault="007951D6" w:rsidP="005804A2">
            <w:pPr>
              <w:pStyle w:val="BodyText"/>
              <w:spacing w:after="0"/>
              <w:rPr>
                <w:rFonts w:ascii="Arial" w:hAnsi="Arial" w:cs="Arial"/>
                <w:sz w:val="22"/>
                <w:szCs w:val="22"/>
              </w:rPr>
            </w:pPr>
            <w:r>
              <w:rPr>
                <w:rFonts w:ascii="Arial" w:hAnsi="Arial" w:cs="Arial"/>
                <w:sz w:val="22"/>
                <w:szCs w:val="22"/>
              </w:rPr>
              <w:t>CFR Loans to Joint Ventures</w:t>
            </w:r>
          </w:p>
        </w:tc>
        <w:tc>
          <w:tcPr>
            <w:tcW w:w="1262" w:type="dxa"/>
          </w:tcPr>
          <w:p w:rsidR="007951D6" w:rsidRPr="00F72292" w:rsidRDefault="007D0828" w:rsidP="005804A2">
            <w:pPr>
              <w:pStyle w:val="BodyText"/>
              <w:spacing w:after="0"/>
              <w:jc w:val="right"/>
              <w:rPr>
                <w:rFonts w:ascii="Arial" w:hAnsi="Arial" w:cs="Arial"/>
                <w:sz w:val="22"/>
                <w:szCs w:val="22"/>
                <w:highlight w:val="yellow"/>
              </w:rPr>
            </w:pPr>
            <w:r w:rsidRPr="007D0828">
              <w:rPr>
                <w:rFonts w:ascii="Arial" w:hAnsi="Arial" w:cs="Arial"/>
                <w:sz w:val="22"/>
                <w:szCs w:val="22"/>
              </w:rPr>
              <w:t>5.000</w:t>
            </w:r>
          </w:p>
        </w:tc>
        <w:tc>
          <w:tcPr>
            <w:tcW w:w="1263" w:type="dxa"/>
          </w:tcPr>
          <w:p w:rsidR="007951D6" w:rsidRPr="003802BA" w:rsidRDefault="003802BA" w:rsidP="003802BA">
            <w:pPr>
              <w:pStyle w:val="BodyText"/>
              <w:spacing w:after="0"/>
              <w:jc w:val="right"/>
              <w:rPr>
                <w:rFonts w:ascii="Arial" w:hAnsi="Arial" w:cs="Arial"/>
                <w:sz w:val="22"/>
                <w:szCs w:val="22"/>
              </w:rPr>
            </w:pPr>
            <w:r w:rsidRPr="003802BA">
              <w:rPr>
                <w:rFonts w:ascii="Arial" w:hAnsi="Arial" w:cs="Arial"/>
                <w:sz w:val="22"/>
                <w:szCs w:val="22"/>
              </w:rPr>
              <w:t>9</w:t>
            </w:r>
            <w:r w:rsidR="007951D6" w:rsidRPr="003802BA">
              <w:rPr>
                <w:rFonts w:ascii="Arial" w:hAnsi="Arial" w:cs="Arial"/>
                <w:sz w:val="22"/>
                <w:szCs w:val="22"/>
              </w:rPr>
              <w:t>.000</w:t>
            </w:r>
          </w:p>
        </w:tc>
        <w:tc>
          <w:tcPr>
            <w:tcW w:w="1262" w:type="dxa"/>
          </w:tcPr>
          <w:p w:rsidR="007951D6" w:rsidRPr="003802BA" w:rsidRDefault="007D0828" w:rsidP="005804A2">
            <w:pPr>
              <w:pStyle w:val="BodyText"/>
              <w:spacing w:after="0"/>
              <w:jc w:val="right"/>
              <w:rPr>
                <w:rFonts w:ascii="Arial" w:hAnsi="Arial" w:cs="Arial"/>
                <w:sz w:val="22"/>
                <w:szCs w:val="22"/>
              </w:rPr>
            </w:pPr>
            <w:r>
              <w:rPr>
                <w:rFonts w:ascii="Arial" w:hAnsi="Arial" w:cs="Arial"/>
                <w:sz w:val="22"/>
                <w:szCs w:val="22"/>
              </w:rPr>
              <w:t>9</w:t>
            </w:r>
            <w:r w:rsidR="007951D6" w:rsidRPr="003802BA">
              <w:rPr>
                <w:rFonts w:ascii="Arial" w:hAnsi="Arial" w:cs="Arial"/>
                <w:sz w:val="22"/>
                <w:szCs w:val="22"/>
              </w:rPr>
              <w:t>.000</w:t>
            </w:r>
          </w:p>
        </w:tc>
        <w:tc>
          <w:tcPr>
            <w:tcW w:w="1263" w:type="dxa"/>
          </w:tcPr>
          <w:p w:rsidR="007951D6" w:rsidRPr="003802BA" w:rsidRDefault="007D0828" w:rsidP="005804A2">
            <w:pPr>
              <w:pStyle w:val="BodyText"/>
              <w:spacing w:after="0"/>
              <w:jc w:val="right"/>
              <w:rPr>
                <w:rFonts w:ascii="Arial" w:hAnsi="Arial" w:cs="Arial"/>
                <w:sz w:val="22"/>
                <w:szCs w:val="22"/>
              </w:rPr>
            </w:pPr>
            <w:r>
              <w:rPr>
                <w:rFonts w:ascii="Arial" w:hAnsi="Arial" w:cs="Arial"/>
                <w:sz w:val="22"/>
                <w:szCs w:val="22"/>
              </w:rPr>
              <w:t>9</w:t>
            </w:r>
            <w:r w:rsidR="007951D6" w:rsidRPr="003802BA">
              <w:rPr>
                <w:rFonts w:ascii="Arial" w:hAnsi="Arial" w:cs="Arial"/>
                <w:sz w:val="22"/>
                <w:szCs w:val="22"/>
              </w:rPr>
              <w:t>.000</w:t>
            </w:r>
          </w:p>
        </w:tc>
      </w:tr>
      <w:tr w:rsidR="000C1EE0" w:rsidRPr="00330F7B" w:rsidTr="00BE1632">
        <w:tc>
          <w:tcPr>
            <w:tcW w:w="2259" w:type="dxa"/>
            <w:tcBorders>
              <w:bottom w:val="single" w:sz="4" w:space="0" w:color="auto"/>
            </w:tcBorders>
          </w:tcPr>
          <w:p w:rsidR="000C1EE0" w:rsidRPr="002D4E8C" w:rsidRDefault="000C1EE0" w:rsidP="005804A2">
            <w:pPr>
              <w:pStyle w:val="BodyText"/>
              <w:spacing w:after="0"/>
              <w:rPr>
                <w:rFonts w:ascii="Arial" w:hAnsi="Arial" w:cs="Arial"/>
                <w:b/>
                <w:szCs w:val="24"/>
              </w:rPr>
            </w:pPr>
            <w:r w:rsidRPr="002D4E8C">
              <w:rPr>
                <w:rFonts w:ascii="Arial" w:hAnsi="Arial" w:cs="Arial"/>
                <w:b/>
                <w:szCs w:val="24"/>
              </w:rPr>
              <w:t>Total CFR</w:t>
            </w:r>
          </w:p>
        </w:tc>
        <w:tc>
          <w:tcPr>
            <w:tcW w:w="1262" w:type="dxa"/>
            <w:tcBorders>
              <w:bottom w:val="single" w:sz="4" w:space="0" w:color="auto"/>
            </w:tcBorders>
          </w:tcPr>
          <w:p w:rsidR="000C1EE0" w:rsidRPr="003802BA" w:rsidRDefault="003802BA" w:rsidP="00ED2188">
            <w:pPr>
              <w:pStyle w:val="BodyText"/>
              <w:spacing w:after="0"/>
              <w:jc w:val="right"/>
              <w:rPr>
                <w:rFonts w:ascii="Arial" w:hAnsi="Arial" w:cs="Arial"/>
                <w:b/>
                <w:szCs w:val="24"/>
              </w:rPr>
            </w:pPr>
            <w:r w:rsidRPr="003802BA">
              <w:rPr>
                <w:rFonts w:ascii="Arial" w:hAnsi="Arial" w:cs="Arial"/>
                <w:b/>
                <w:szCs w:val="24"/>
              </w:rPr>
              <w:t>3</w:t>
            </w:r>
            <w:r w:rsidR="00ED2188">
              <w:rPr>
                <w:rFonts w:ascii="Arial" w:hAnsi="Arial" w:cs="Arial"/>
                <w:b/>
                <w:szCs w:val="24"/>
              </w:rPr>
              <w:t>19</w:t>
            </w:r>
            <w:r w:rsidR="00FA4A06" w:rsidRPr="003802BA">
              <w:rPr>
                <w:rFonts w:ascii="Arial" w:hAnsi="Arial" w:cs="Arial"/>
                <w:b/>
                <w:szCs w:val="24"/>
              </w:rPr>
              <w:t>.</w:t>
            </w:r>
            <w:r w:rsidRPr="003802BA">
              <w:rPr>
                <w:rFonts w:ascii="Arial" w:hAnsi="Arial" w:cs="Arial"/>
                <w:b/>
                <w:szCs w:val="24"/>
              </w:rPr>
              <w:t>48</w:t>
            </w:r>
            <w:r w:rsidR="007D0828">
              <w:rPr>
                <w:rFonts w:ascii="Arial" w:hAnsi="Arial" w:cs="Arial"/>
                <w:b/>
                <w:szCs w:val="24"/>
              </w:rPr>
              <w:t>7</w:t>
            </w:r>
          </w:p>
        </w:tc>
        <w:tc>
          <w:tcPr>
            <w:tcW w:w="1263" w:type="dxa"/>
            <w:tcBorders>
              <w:bottom w:val="single" w:sz="4" w:space="0" w:color="auto"/>
            </w:tcBorders>
          </w:tcPr>
          <w:p w:rsidR="000C1EE0" w:rsidRPr="003802BA" w:rsidRDefault="007951D6" w:rsidP="00ED2188">
            <w:pPr>
              <w:pStyle w:val="BodyText"/>
              <w:spacing w:after="0"/>
              <w:jc w:val="right"/>
              <w:rPr>
                <w:rFonts w:ascii="Arial" w:hAnsi="Arial" w:cs="Arial"/>
                <w:b/>
                <w:szCs w:val="24"/>
              </w:rPr>
            </w:pPr>
            <w:r w:rsidRPr="003802BA">
              <w:rPr>
                <w:rFonts w:ascii="Arial" w:hAnsi="Arial" w:cs="Arial"/>
                <w:b/>
                <w:szCs w:val="24"/>
              </w:rPr>
              <w:t>3</w:t>
            </w:r>
            <w:r w:rsidR="00ED2188">
              <w:rPr>
                <w:rFonts w:ascii="Arial" w:hAnsi="Arial" w:cs="Arial"/>
                <w:b/>
                <w:szCs w:val="24"/>
              </w:rPr>
              <w:t>26</w:t>
            </w:r>
            <w:r w:rsidRPr="003802BA">
              <w:rPr>
                <w:rFonts w:ascii="Arial" w:hAnsi="Arial" w:cs="Arial"/>
                <w:b/>
                <w:szCs w:val="24"/>
              </w:rPr>
              <w:t>.</w:t>
            </w:r>
            <w:r w:rsidR="003802BA" w:rsidRPr="003802BA">
              <w:rPr>
                <w:rFonts w:ascii="Arial" w:hAnsi="Arial" w:cs="Arial"/>
                <w:b/>
                <w:szCs w:val="24"/>
              </w:rPr>
              <w:t>70</w:t>
            </w:r>
            <w:r w:rsidR="007D0828">
              <w:rPr>
                <w:rFonts w:ascii="Arial" w:hAnsi="Arial" w:cs="Arial"/>
                <w:b/>
                <w:szCs w:val="24"/>
              </w:rPr>
              <w:t>3</w:t>
            </w:r>
          </w:p>
        </w:tc>
        <w:tc>
          <w:tcPr>
            <w:tcW w:w="1262" w:type="dxa"/>
            <w:tcBorders>
              <w:bottom w:val="single" w:sz="4" w:space="0" w:color="auto"/>
            </w:tcBorders>
          </w:tcPr>
          <w:p w:rsidR="000C1EE0" w:rsidRPr="003802BA" w:rsidRDefault="007951D6" w:rsidP="00ED2188">
            <w:pPr>
              <w:pStyle w:val="BodyText"/>
              <w:spacing w:after="0"/>
              <w:jc w:val="right"/>
              <w:rPr>
                <w:rFonts w:ascii="Arial" w:hAnsi="Arial" w:cs="Arial"/>
                <w:b/>
                <w:szCs w:val="24"/>
              </w:rPr>
            </w:pPr>
            <w:r w:rsidRPr="003802BA">
              <w:rPr>
                <w:rFonts w:ascii="Arial" w:hAnsi="Arial" w:cs="Arial"/>
                <w:b/>
                <w:szCs w:val="24"/>
              </w:rPr>
              <w:t>3</w:t>
            </w:r>
            <w:r w:rsidR="00ED2188">
              <w:rPr>
                <w:rFonts w:ascii="Arial" w:hAnsi="Arial" w:cs="Arial"/>
                <w:b/>
                <w:szCs w:val="24"/>
              </w:rPr>
              <w:t>24</w:t>
            </w:r>
            <w:r w:rsidRPr="003802BA">
              <w:rPr>
                <w:rFonts w:ascii="Arial" w:hAnsi="Arial" w:cs="Arial"/>
                <w:b/>
                <w:szCs w:val="24"/>
              </w:rPr>
              <w:t>.</w:t>
            </w:r>
            <w:r w:rsidR="003802BA" w:rsidRPr="003802BA">
              <w:rPr>
                <w:rFonts w:ascii="Arial" w:hAnsi="Arial" w:cs="Arial"/>
                <w:b/>
                <w:szCs w:val="24"/>
              </w:rPr>
              <w:t>93</w:t>
            </w:r>
            <w:r w:rsidR="007D0828">
              <w:rPr>
                <w:rFonts w:ascii="Arial" w:hAnsi="Arial" w:cs="Arial"/>
                <w:b/>
                <w:szCs w:val="24"/>
              </w:rPr>
              <w:t>4</w:t>
            </w:r>
          </w:p>
        </w:tc>
        <w:tc>
          <w:tcPr>
            <w:tcW w:w="1263" w:type="dxa"/>
            <w:tcBorders>
              <w:bottom w:val="single" w:sz="4" w:space="0" w:color="auto"/>
            </w:tcBorders>
          </w:tcPr>
          <w:p w:rsidR="000C1EE0" w:rsidRPr="003802BA" w:rsidRDefault="007951D6" w:rsidP="00ED2188">
            <w:pPr>
              <w:pStyle w:val="BodyText"/>
              <w:spacing w:after="0"/>
              <w:jc w:val="right"/>
              <w:rPr>
                <w:rFonts w:ascii="Arial" w:hAnsi="Arial" w:cs="Arial"/>
                <w:b/>
                <w:szCs w:val="24"/>
              </w:rPr>
            </w:pPr>
            <w:r w:rsidRPr="003802BA">
              <w:rPr>
                <w:rFonts w:ascii="Arial" w:hAnsi="Arial" w:cs="Arial"/>
                <w:b/>
                <w:szCs w:val="24"/>
              </w:rPr>
              <w:t>3</w:t>
            </w:r>
            <w:r w:rsidR="00ED2188">
              <w:rPr>
                <w:rFonts w:ascii="Arial" w:hAnsi="Arial" w:cs="Arial"/>
                <w:b/>
                <w:szCs w:val="24"/>
              </w:rPr>
              <w:t>23</w:t>
            </w:r>
            <w:r w:rsidR="003802BA" w:rsidRPr="003802BA">
              <w:rPr>
                <w:rFonts w:ascii="Arial" w:hAnsi="Arial" w:cs="Arial"/>
                <w:b/>
                <w:szCs w:val="24"/>
              </w:rPr>
              <w:t>.17</w:t>
            </w:r>
            <w:r w:rsidR="007D0828">
              <w:rPr>
                <w:rFonts w:ascii="Arial" w:hAnsi="Arial" w:cs="Arial"/>
                <w:b/>
                <w:szCs w:val="24"/>
              </w:rPr>
              <w:t>9</w:t>
            </w:r>
          </w:p>
        </w:tc>
      </w:tr>
      <w:tr w:rsidR="000C1EE0" w:rsidRPr="00330F7B" w:rsidTr="00BE1632">
        <w:tc>
          <w:tcPr>
            <w:tcW w:w="2259" w:type="dxa"/>
            <w:tcBorders>
              <w:bottom w:val="single" w:sz="4" w:space="0" w:color="auto"/>
            </w:tcBorders>
          </w:tcPr>
          <w:p w:rsidR="000C1EE0" w:rsidRPr="00DE4C30" w:rsidRDefault="000C1EE0" w:rsidP="005804A2">
            <w:pPr>
              <w:pStyle w:val="BodyText"/>
              <w:spacing w:after="0"/>
              <w:rPr>
                <w:rFonts w:ascii="Arial" w:hAnsi="Arial" w:cs="Arial"/>
                <w:b/>
                <w:sz w:val="22"/>
                <w:szCs w:val="22"/>
              </w:rPr>
            </w:pPr>
            <w:r w:rsidRPr="00DE4C30">
              <w:rPr>
                <w:rFonts w:ascii="Arial" w:hAnsi="Arial" w:cs="Arial"/>
                <w:b/>
                <w:iCs/>
                <w:sz w:val="22"/>
                <w:szCs w:val="22"/>
              </w:rPr>
              <w:t>Movement in CFR</w:t>
            </w:r>
          </w:p>
        </w:tc>
        <w:tc>
          <w:tcPr>
            <w:tcW w:w="1262" w:type="dxa"/>
            <w:tcBorders>
              <w:bottom w:val="single" w:sz="4" w:space="0" w:color="auto"/>
            </w:tcBorders>
          </w:tcPr>
          <w:p w:rsidR="000C1EE0" w:rsidRPr="003802BA" w:rsidRDefault="00ED2188" w:rsidP="00ED2188">
            <w:pPr>
              <w:pStyle w:val="BodyText"/>
              <w:spacing w:after="0"/>
              <w:jc w:val="right"/>
              <w:rPr>
                <w:rFonts w:ascii="Arial" w:hAnsi="Arial" w:cs="Arial"/>
                <w:b/>
                <w:sz w:val="22"/>
                <w:szCs w:val="22"/>
              </w:rPr>
            </w:pPr>
            <w:r>
              <w:rPr>
                <w:rFonts w:ascii="Arial" w:hAnsi="Arial" w:cs="Arial"/>
                <w:b/>
                <w:sz w:val="22"/>
                <w:szCs w:val="22"/>
              </w:rPr>
              <w:t>20.</w:t>
            </w:r>
            <w:r w:rsidR="00A476E4">
              <w:rPr>
                <w:rFonts w:ascii="Arial" w:hAnsi="Arial" w:cs="Arial"/>
                <w:b/>
                <w:sz w:val="22"/>
                <w:szCs w:val="22"/>
              </w:rPr>
              <w:t>297</w:t>
            </w:r>
          </w:p>
        </w:tc>
        <w:tc>
          <w:tcPr>
            <w:tcW w:w="1263" w:type="dxa"/>
            <w:tcBorders>
              <w:bottom w:val="single" w:sz="4" w:space="0" w:color="auto"/>
            </w:tcBorders>
          </w:tcPr>
          <w:p w:rsidR="000C1EE0" w:rsidRPr="003802BA" w:rsidRDefault="007D0828" w:rsidP="003802BA">
            <w:pPr>
              <w:pStyle w:val="BodyText"/>
              <w:spacing w:after="0"/>
              <w:jc w:val="right"/>
              <w:rPr>
                <w:rFonts w:ascii="Arial" w:hAnsi="Arial" w:cs="Arial"/>
                <w:b/>
                <w:sz w:val="22"/>
                <w:szCs w:val="22"/>
              </w:rPr>
            </w:pPr>
            <w:r>
              <w:rPr>
                <w:rFonts w:ascii="Arial" w:hAnsi="Arial" w:cs="Arial"/>
                <w:b/>
                <w:sz w:val="22"/>
                <w:szCs w:val="22"/>
              </w:rPr>
              <w:t>7</w:t>
            </w:r>
            <w:r w:rsidR="003802BA" w:rsidRPr="003802BA">
              <w:rPr>
                <w:rFonts w:ascii="Arial" w:hAnsi="Arial" w:cs="Arial"/>
                <w:b/>
                <w:sz w:val="22"/>
                <w:szCs w:val="22"/>
              </w:rPr>
              <w:t>.216</w:t>
            </w:r>
          </w:p>
        </w:tc>
        <w:tc>
          <w:tcPr>
            <w:tcW w:w="1262" w:type="dxa"/>
            <w:tcBorders>
              <w:bottom w:val="single" w:sz="4" w:space="0" w:color="auto"/>
            </w:tcBorders>
          </w:tcPr>
          <w:p w:rsidR="000C1EE0" w:rsidRPr="003802BA" w:rsidRDefault="007D0828" w:rsidP="007D0828">
            <w:pPr>
              <w:pStyle w:val="BodyText"/>
              <w:spacing w:after="0"/>
              <w:jc w:val="right"/>
              <w:rPr>
                <w:rFonts w:ascii="Arial" w:hAnsi="Arial" w:cs="Arial"/>
                <w:b/>
                <w:sz w:val="22"/>
                <w:szCs w:val="22"/>
              </w:rPr>
            </w:pPr>
            <w:r>
              <w:rPr>
                <w:rFonts w:ascii="Arial" w:hAnsi="Arial" w:cs="Arial"/>
                <w:b/>
                <w:sz w:val="22"/>
                <w:szCs w:val="22"/>
              </w:rPr>
              <w:t>(1.769)</w:t>
            </w:r>
          </w:p>
        </w:tc>
        <w:tc>
          <w:tcPr>
            <w:tcW w:w="1263" w:type="dxa"/>
            <w:tcBorders>
              <w:bottom w:val="single" w:sz="4" w:space="0" w:color="auto"/>
            </w:tcBorders>
          </w:tcPr>
          <w:p w:rsidR="000C1EE0" w:rsidRPr="003802BA" w:rsidRDefault="007D0828" w:rsidP="007D0828">
            <w:pPr>
              <w:pStyle w:val="BodyText"/>
              <w:spacing w:after="0"/>
              <w:jc w:val="right"/>
              <w:rPr>
                <w:rFonts w:ascii="Arial" w:hAnsi="Arial" w:cs="Arial"/>
                <w:b/>
                <w:sz w:val="22"/>
                <w:szCs w:val="22"/>
              </w:rPr>
            </w:pPr>
            <w:r>
              <w:rPr>
                <w:rFonts w:ascii="Arial" w:hAnsi="Arial" w:cs="Arial"/>
                <w:b/>
                <w:sz w:val="22"/>
                <w:szCs w:val="22"/>
              </w:rPr>
              <w:t>(1.755)</w:t>
            </w:r>
          </w:p>
        </w:tc>
      </w:tr>
    </w:tbl>
    <w:p w:rsidR="005804A2" w:rsidRDefault="005804A2" w:rsidP="005804A2">
      <w:pPr>
        <w:pStyle w:val="BodyText"/>
        <w:spacing w:after="0"/>
        <w:jc w:val="both"/>
        <w:rPr>
          <w:rFonts w:ascii="Arial" w:hAnsi="Arial" w:cs="Arial"/>
          <w:b/>
          <w:szCs w:val="24"/>
        </w:rPr>
      </w:pPr>
    </w:p>
    <w:p w:rsidR="006B0386" w:rsidRDefault="006B0386" w:rsidP="005804A2">
      <w:pPr>
        <w:pStyle w:val="BodyText"/>
        <w:spacing w:after="0"/>
        <w:jc w:val="both"/>
        <w:rPr>
          <w:rFonts w:ascii="Arial" w:hAnsi="Arial" w:cs="Arial"/>
          <w:b/>
          <w:szCs w:val="24"/>
        </w:rPr>
      </w:pPr>
      <w:r w:rsidRPr="007403EB">
        <w:rPr>
          <w:rFonts w:ascii="Arial" w:hAnsi="Arial" w:cs="Arial"/>
          <w:b/>
          <w:szCs w:val="24"/>
        </w:rPr>
        <w:t>MRP Policy Statement</w:t>
      </w:r>
    </w:p>
    <w:p w:rsidR="005804A2" w:rsidRPr="007403EB" w:rsidRDefault="005804A2" w:rsidP="005804A2">
      <w:pPr>
        <w:pStyle w:val="BodyText"/>
        <w:spacing w:after="0"/>
        <w:jc w:val="both"/>
        <w:rPr>
          <w:rFonts w:ascii="Arial" w:hAnsi="Arial" w:cs="Arial"/>
          <w:b/>
          <w:szCs w:val="24"/>
        </w:rPr>
      </w:pPr>
    </w:p>
    <w:p w:rsidR="001902B1" w:rsidRDefault="006B0386" w:rsidP="00956E51">
      <w:pPr>
        <w:numPr>
          <w:ilvl w:val="0"/>
          <w:numId w:val="1"/>
        </w:numPr>
        <w:tabs>
          <w:tab w:val="num" w:pos="0"/>
        </w:tabs>
        <w:rPr>
          <w:rFonts w:ascii="Arial" w:hAnsi="Arial" w:cs="Arial"/>
          <w:szCs w:val="24"/>
        </w:rPr>
      </w:pPr>
      <w:r w:rsidRPr="00DB5661">
        <w:rPr>
          <w:rFonts w:ascii="Arial" w:hAnsi="Arial" w:cs="Arial"/>
          <w:szCs w:val="24"/>
        </w:rPr>
        <w:t>The Council is required to pay off an element of th</w:t>
      </w:r>
      <w:r w:rsidR="00471615">
        <w:rPr>
          <w:rFonts w:ascii="Arial" w:hAnsi="Arial" w:cs="Arial"/>
          <w:szCs w:val="24"/>
        </w:rPr>
        <w:t>e accumulated General Fund</w:t>
      </w:r>
      <w:r w:rsidR="00462375">
        <w:rPr>
          <w:rFonts w:ascii="Arial" w:hAnsi="Arial" w:cs="Arial"/>
          <w:szCs w:val="24"/>
        </w:rPr>
        <w:t xml:space="preserve"> capital spend</w:t>
      </w:r>
      <w:r w:rsidRPr="00DB5661">
        <w:rPr>
          <w:rFonts w:ascii="Arial" w:hAnsi="Arial" w:cs="Arial"/>
          <w:szCs w:val="24"/>
        </w:rPr>
        <w:t xml:space="preserve"> each year</w:t>
      </w:r>
      <w:r w:rsidR="00EE2184">
        <w:rPr>
          <w:rFonts w:ascii="Arial" w:hAnsi="Arial" w:cs="Arial"/>
          <w:szCs w:val="24"/>
        </w:rPr>
        <w:t xml:space="preserve"> (the CFR)</w:t>
      </w:r>
      <w:r w:rsidRPr="00DB5661">
        <w:rPr>
          <w:rFonts w:ascii="Arial" w:hAnsi="Arial" w:cs="Arial"/>
          <w:szCs w:val="24"/>
        </w:rPr>
        <w:t xml:space="preserve"> through a revenue charge (the minimum revenue provision - MRP).  It is also allowed to undertake additional voluntary payments if desired (voluntary revenue provision - VRP).  </w:t>
      </w:r>
    </w:p>
    <w:p w:rsidR="00767FE5" w:rsidRDefault="00767FE5" w:rsidP="00767FE5">
      <w:pPr>
        <w:ind w:left="567"/>
        <w:rPr>
          <w:rFonts w:ascii="Arial" w:hAnsi="Arial" w:cs="Arial"/>
          <w:szCs w:val="24"/>
        </w:rPr>
      </w:pPr>
    </w:p>
    <w:p w:rsidR="00767FE5" w:rsidRPr="00DB5661" w:rsidRDefault="00767FE5" w:rsidP="00767FE5">
      <w:pPr>
        <w:numPr>
          <w:ilvl w:val="0"/>
          <w:numId w:val="1"/>
        </w:numPr>
        <w:rPr>
          <w:rFonts w:ascii="Arial" w:hAnsi="Arial" w:cs="Arial"/>
          <w:szCs w:val="24"/>
        </w:rPr>
      </w:pPr>
      <w:r w:rsidRPr="00767FE5">
        <w:rPr>
          <w:rFonts w:ascii="Arial" w:hAnsi="Arial" w:cs="Arial"/>
          <w:szCs w:val="24"/>
        </w:rPr>
        <w:t>MHCLG regulations have been issued which require the full Council to approve an MRP Statement in advance of each year. A variety of options are provided to councils, so long as</w:t>
      </w:r>
      <w:r>
        <w:rPr>
          <w:rFonts w:ascii="Arial" w:hAnsi="Arial" w:cs="Arial"/>
          <w:szCs w:val="24"/>
        </w:rPr>
        <w:t xml:space="preserve"> there is a prudent provision.</w:t>
      </w:r>
    </w:p>
    <w:p w:rsidR="007403EB" w:rsidRPr="007403EB" w:rsidRDefault="007403EB" w:rsidP="005804A2">
      <w:pPr>
        <w:ind w:left="879"/>
        <w:rPr>
          <w:rFonts w:ascii="Arial" w:hAnsi="Arial" w:cs="Arial"/>
          <w:szCs w:val="24"/>
        </w:rPr>
      </w:pPr>
    </w:p>
    <w:p w:rsidR="007403EB" w:rsidRPr="007403EB" w:rsidRDefault="007403EB" w:rsidP="005804A2">
      <w:pPr>
        <w:numPr>
          <w:ilvl w:val="0"/>
          <w:numId w:val="1"/>
        </w:numPr>
        <w:tabs>
          <w:tab w:val="num" w:pos="0"/>
        </w:tabs>
        <w:rPr>
          <w:rFonts w:ascii="Arial" w:hAnsi="Arial" w:cs="Arial"/>
          <w:szCs w:val="24"/>
        </w:rPr>
      </w:pPr>
      <w:r w:rsidRPr="007403EB">
        <w:rPr>
          <w:rFonts w:ascii="Arial" w:hAnsi="Arial" w:cs="Arial"/>
          <w:szCs w:val="24"/>
        </w:rPr>
        <w:lastRenderedPageBreak/>
        <w:t xml:space="preserve">It is proposed that Darlington Borough Council’s MRP policy statement </w:t>
      </w:r>
      <w:r w:rsidR="00495BF7">
        <w:rPr>
          <w:rFonts w:ascii="Arial" w:hAnsi="Arial" w:cs="Arial"/>
          <w:szCs w:val="24"/>
        </w:rPr>
        <w:t>for 201</w:t>
      </w:r>
      <w:r w:rsidR="00EE2184">
        <w:rPr>
          <w:rFonts w:ascii="Arial" w:hAnsi="Arial" w:cs="Arial"/>
          <w:szCs w:val="24"/>
        </w:rPr>
        <w:t>9</w:t>
      </w:r>
      <w:r w:rsidR="00495BF7">
        <w:rPr>
          <w:rFonts w:ascii="Arial" w:hAnsi="Arial" w:cs="Arial"/>
          <w:szCs w:val="24"/>
        </w:rPr>
        <w:t>/</w:t>
      </w:r>
      <w:r w:rsidR="00EE2184">
        <w:rPr>
          <w:rFonts w:ascii="Arial" w:hAnsi="Arial" w:cs="Arial"/>
          <w:szCs w:val="24"/>
        </w:rPr>
        <w:t>20</w:t>
      </w:r>
      <w:r w:rsidR="00495BF7">
        <w:rPr>
          <w:rFonts w:ascii="Arial" w:hAnsi="Arial" w:cs="Arial"/>
          <w:szCs w:val="24"/>
        </w:rPr>
        <w:t xml:space="preserve"> </w:t>
      </w:r>
      <w:r w:rsidRPr="007403EB">
        <w:rPr>
          <w:rFonts w:ascii="Arial" w:hAnsi="Arial" w:cs="Arial"/>
          <w:szCs w:val="24"/>
        </w:rPr>
        <w:t>will be</w:t>
      </w:r>
      <w:r w:rsidR="00EE2184">
        <w:rPr>
          <w:rFonts w:ascii="Arial" w:hAnsi="Arial" w:cs="Arial"/>
          <w:szCs w:val="24"/>
        </w:rPr>
        <w:t>:</w:t>
      </w:r>
    </w:p>
    <w:p w:rsidR="007403EB" w:rsidRPr="007403EB" w:rsidRDefault="007403EB" w:rsidP="005804A2">
      <w:pPr>
        <w:rPr>
          <w:rFonts w:ascii="Arial" w:hAnsi="Arial" w:cs="Arial"/>
          <w:szCs w:val="24"/>
        </w:rPr>
      </w:pPr>
    </w:p>
    <w:p w:rsidR="007403EB" w:rsidRDefault="007403EB" w:rsidP="005804A2">
      <w:pPr>
        <w:numPr>
          <w:ilvl w:val="1"/>
          <w:numId w:val="1"/>
        </w:numPr>
        <w:rPr>
          <w:rFonts w:ascii="Arial" w:hAnsi="Arial" w:cs="Arial"/>
          <w:szCs w:val="24"/>
        </w:rPr>
      </w:pPr>
      <w:r w:rsidRPr="007403EB">
        <w:rPr>
          <w:rFonts w:ascii="Arial" w:hAnsi="Arial" w:cs="Arial"/>
          <w:szCs w:val="24"/>
        </w:rPr>
        <w:t>For Capital expenditur</w:t>
      </w:r>
      <w:r w:rsidR="00607A2D">
        <w:rPr>
          <w:rFonts w:ascii="Arial" w:hAnsi="Arial" w:cs="Arial"/>
          <w:szCs w:val="24"/>
        </w:rPr>
        <w:t>e incurred before 1</w:t>
      </w:r>
      <w:r w:rsidR="00B46B5E">
        <w:rPr>
          <w:rFonts w:ascii="Arial" w:hAnsi="Arial" w:cs="Arial"/>
          <w:szCs w:val="24"/>
        </w:rPr>
        <w:t xml:space="preserve"> </w:t>
      </w:r>
      <w:r w:rsidR="00607A2D">
        <w:rPr>
          <w:rFonts w:ascii="Arial" w:hAnsi="Arial" w:cs="Arial"/>
          <w:szCs w:val="24"/>
        </w:rPr>
        <w:t>April 2008 and</w:t>
      </w:r>
      <w:r w:rsidRPr="007403EB">
        <w:rPr>
          <w:rFonts w:ascii="Arial" w:hAnsi="Arial" w:cs="Arial"/>
          <w:szCs w:val="24"/>
        </w:rPr>
        <w:t xml:space="preserve"> expenditure which was granted through credit approvals since that date MRP will be calculated on an annuity basis </w:t>
      </w:r>
      <w:r w:rsidR="00215513">
        <w:rPr>
          <w:rFonts w:ascii="Arial" w:hAnsi="Arial" w:cs="Arial"/>
          <w:szCs w:val="24"/>
        </w:rPr>
        <w:t xml:space="preserve">(2%) </w:t>
      </w:r>
      <w:r w:rsidRPr="007403EB">
        <w:rPr>
          <w:rFonts w:ascii="Arial" w:hAnsi="Arial" w:cs="Arial"/>
          <w:szCs w:val="24"/>
        </w:rPr>
        <w:t>over 50 years or the useful life of the asset.</w:t>
      </w:r>
    </w:p>
    <w:p w:rsidR="00DD6028" w:rsidRPr="007403EB" w:rsidRDefault="00DD6028" w:rsidP="005804A2">
      <w:pPr>
        <w:ind w:left="1305"/>
        <w:rPr>
          <w:rFonts w:ascii="Arial" w:hAnsi="Arial" w:cs="Arial"/>
          <w:szCs w:val="24"/>
        </w:rPr>
      </w:pPr>
    </w:p>
    <w:p w:rsidR="007403EB" w:rsidRDefault="007403EB" w:rsidP="005804A2">
      <w:pPr>
        <w:numPr>
          <w:ilvl w:val="1"/>
          <w:numId w:val="1"/>
        </w:numPr>
        <w:rPr>
          <w:rFonts w:ascii="Arial" w:hAnsi="Arial" w:cs="Arial"/>
          <w:szCs w:val="24"/>
        </w:rPr>
      </w:pPr>
      <w:r w:rsidRPr="007403EB">
        <w:rPr>
          <w:rFonts w:ascii="Arial" w:hAnsi="Arial" w:cs="Arial"/>
          <w:szCs w:val="24"/>
        </w:rPr>
        <w:t>Capital Expenditure from 1</w:t>
      </w:r>
      <w:r w:rsidR="00B46B5E">
        <w:rPr>
          <w:rFonts w:ascii="Arial" w:hAnsi="Arial" w:cs="Arial"/>
          <w:szCs w:val="24"/>
        </w:rPr>
        <w:t xml:space="preserve"> </w:t>
      </w:r>
      <w:r w:rsidRPr="007403EB">
        <w:rPr>
          <w:rFonts w:ascii="Arial" w:hAnsi="Arial" w:cs="Arial"/>
          <w:szCs w:val="24"/>
        </w:rPr>
        <w:t xml:space="preserve">April 2008 for all unsupported borrowing MRP will be based on the </w:t>
      </w:r>
      <w:r w:rsidR="00EE2184">
        <w:rPr>
          <w:rFonts w:ascii="Arial" w:hAnsi="Arial" w:cs="Arial"/>
          <w:szCs w:val="24"/>
        </w:rPr>
        <w:t>estimated</w:t>
      </w:r>
      <w:r w:rsidRPr="007403EB">
        <w:rPr>
          <w:rFonts w:ascii="Arial" w:hAnsi="Arial" w:cs="Arial"/>
          <w:szCs w:val="24"/>
        </w:rPr>
        <w:t xml:space="preserve"> life of</w:t>
      </w:r>
      <w:r w:rsidR="00EE2184">
        <w:rPr>
          <w:rFonts w:ascii="Arial" w:hAnsi="Arial" w:cs="Arial"/>
          <w:szCs w:val="24"/>
        </w:rPr>
        <w:t xml:space="preserve"> the</w:t>
      </w:r>
      <w:r w:rsidRPr="007403EB">
        <w:rPr>
          <w:rFonts w:ascii="Arial" w:hAnsi="Arial" w:cs="Arial"/>
          <w:szCs w:val="24"/>
        </w:rPr>
        <w:t xml:space="preserve"> assets, repayments will be on an annuity basis</w:t>
      </w:r>
      <w:r w:rsidR="00215513">
        <w:rPr>
          <w:rFonts w:ascii="Arial" w:hAnsi="Arial" w:cs="Arial"/>
          <w:szCs w:val="24"/>
        </w:rPr>
        <w:t xml:space="preserve"> (2%)</w:t>
      </w:r>
    </w:p>
    <w:p w:rsidR="00DD6028" w:rsidRPr="007403EB" w:rsidRDefault="00DD6028" w:rsidP="005804A2">
      <w:pPr>
        <w:ind w:left="1305"/>
        <w:rPr>
          <w:rFonts w:ascii="Arial" w:hAnsi="Arial" w:cs="Arial"/>
          <w:szCs w:val="24"/>
        </w:rPr>
      </w:pPr>
    </w:p>
    <w:p w:rsidR="007403EB" w:rsidRDefault="007403EB" w:rsidP="005804A2">
      <w:pPr>
        <w:numPr>
          <w:ilvl w:val="1"/>
          <w:numId w:val="1"/>
        </w:numPr>
        <w:rPr>
          <w:rFonts w:ascii="Arial" w:hAnsi="Arial" w:cs="Arial"/>
          <w:szCs w:val="24"/>
        </w:rPr>
      </w:pPr>
      <w:r w:rsidRPr="007403EB">
        <w:rPr>
          <w:rFonts w:ascii="Arial" w:hAnsi="Arial" w:cs="Arial"/>
          <w:szCs w:val="24"/>
        </w:rPr>
        <w:t>Repayments relating to the PFI scheme will be based on the life of the asset of 60 years from 1</w:t>
      </w:r>
      <w:r w:rsidRPr="007403EB">
        <w:rPr>
          <w:rFonts w:ascii="Arial" w:hAnsi="Arial" w:cs="Arial"/>
          <w:szCs w:val="24"/>
          <w:vertAlign w:val="superscript"/>
        </w:rPr>
        <w:t>st</w:t>
      </w:r>
      <w:r w:rsidRPr="007403EB">
        <w:rPr>
          <w:rFonts w:ascii="Arial" w:hAnsi="Arial" w:cs="Arial"/>
          <w:szCs w:val="24"/>
        </w:rPr>
        <w:t xml:space="preserve"> April 2008 on an annuity basis</w:t>
      </w:r>
      <w:r w:rsidR="00215513">
        <w:rPr>
          <w:rFonts w:ascii="Arial" w:hAnsi="Arial" w:cs="Arial"/>
          <w:szCs w:val="24"/>
        </w:rPr>
        <w:t xml:space="preserve"> (2%)</w:t>
      </w:r>
      <w:r w:rsidR="00B46B5E">
        <w:rPr>
          <w:rFonts w:ascii="Arial" w:hAnsi="Arial" w:cs="Arial"/>
          <w:szCs w:val="24"/>
        </w:rPr>
        <w:t>.</w:t>
      </w:r>
    </w:p>
    <w:p w:rsidR="00DD6028" w:rsidRPr="007403EB" w:rsidRDefault="00DD6028" w:rsidP="005804A2">
      <w:pPr>
        <w:ind w:left="1305"/>
        <w:rPr>
          <w:rFonts w:ascii="Arial" w:hAnsi="Arial" w:cs="Arial"/>
          <w:szCs w:val="24"/>
        </w:rPr>
      </w:pPr>
    </w:p>
    <w:p w:rsidR="007403EB" w:rsidRDefault="007403EB" w:rsidP="005804A2">
      <w:pPr>
        <w:numPr>
          <w:ilvl w:val="1"/>
          <w:numId w:val="1"/>
        </w:numPr>
        <w:rPr>
          <w:rFonts w:ascii="Arial" w:hAnsi="Arial" w:cs="Arial"/>
          <w:szCs w:val="24"/>
        </w:rPr>
      </w:pPr>
      <w:r w:rsidRPr="007403EB">
        <w:rPr>
          <w:rFonts w:ascii="Arial" w:hAnsi="Arial" w:cs="Arial"/>
          <w:szCs w:val="24"/>
        </w:rPr>
        <w:t xml:space="preserve">Where MRP has been overcharged in previous years, the recovery of the overcharge will be </w:t>
      </w:r>
      <w:r w:rsidR="002532F2" w:rsidRPr="007403EB">
        <w:rPr>
          <w:rFonts w:ascii="Arial" w:hAnsi="Arial" w:cs="Arial"/>
          <w:szCs w:val="24"/>
        </w:rPr>
        <w:t>affected</w:t>
      </w:r>
      <w:r w:rsidRPr="007403EB">
        <w:rPr>
          <w:rFonts w:ascii="Arial" w:hAnsi="Arial" w:cs="Arial"/>
          <w:szCs w:val="24"/>
        </w:rPr>
        <w:t xml:space="preserve"> by reducing the MRP charges, du</w:t>
      </w:r>
      <w:r w:rsidR="00D954D5">
        <w:rPr>
          <w:rFonts w:ascii="Arial" w:hAnsi="Arial" w:cs="Arial"/>
          <w:szCs w:val="24"/>
        </w:rPr>
        <w:t>e in full or in part for 201</w:t>
      </w:r>
      <w:r w:rsidR="00EE2184">
        <w:rPr>
          <w:rFonts w:ascii="Arial" w:hAnsi="Arial" w:cs="Arial"/>
          <w:szCs w:val="24"/>
        </w:rPr>
        <w:t>9</w:t>
      </w:r>
      <w:r w:rsidR="00614474">
        <w:rPr>
          <w:rFonts w:ascii="Arial" w:hAnsi="Arial" w:cs="Arial"/>
          <w:szCs w:val="24"/>
        </w:rPr>
        <w:t>/</w:t>
      </w:r>
      <w:r w:rsidR="00EE2184">
        <w:rPr>
          <w:rFonts w:ascii="Arial" w:hAnsi="Arial" w:cs="Arial"/>
          <w:szCs w:val="24"/>
        </w:rPr>
        <w:t>20</w:t>
      </w:r>
      <w:r w:rsidRPr="007403EB">
        <w:rPr>
          <w:rFonts w:ascii="Arial" w:hAnsi="Arial" w:cs="Arial"/>
          <w:szCs w:val="24"/>
        </w:rPr>
        <w:t xml:space="preserve"> and in future </w:t>
      </w:r>
      <w:r w:rsidR="00EE2184" w:rsidRPr="007403EB">
        <w:rPr>
          <w:rFonts w:ascii="Arial" w:hAnsi="Arial" w:cs="Arial"/>
          <w:szCs w:val="24"/>
        </w:rPr>
        <w:t>years, which</w:t>
      </w:r>
      <w:r w:rsidRPr="007403EB">
        <w:rPr>
          <w:rFonts w:ascii="Arial" w:hAnsi="Arial" w:cs="Arial"/>
          <w:szCs w:val="24"/>
        </w:rPr>
        <w:t xml:space="preserve"> would otherwise have been made.  The MRP adjustment for 201</w:t>
      </w:r>
      <w:r w:rsidR="00EE2184">
        <w:rPr>
          <w:rFonts w:ascii="Arial" w:hAnsi="Arial" w:cs="Arial"/>
          <w:szCs w:val="24"/>
        </w:rPr>
        <w:t>9</w:t>
      </w:r>
      <w:r w:rsidR="00D954D5">
        <w:rPr>
          <w:rFonts w:ascii="Arial" w:hAnsi="Arial" w:cs="Arial"/>
          <w:szCs w:val="24"/>
        </w:rPr>
        <w:t>/</w:t>
      </w:r>
      <w:r w:rsidR="00EE2184">
        <w:rPr>
          <w:rFonts w:ascii="Arial" w:hAnsi="Arial" w:cs="Arial"/>
          <w:szCs w:val="24"/>
        </w:rPr>
        <w:t>20</w:t>
      </w:r>
      <w:r w:rsidRPr="007403EB">
        <w:rPr>
          <w:rFonts w:ascii="Arial" w:hAnsi="Arial" w:cs="Arial"/>
          <w:szCs w:val="24"/>
        </w:rPr>
        <w:t xml:space="preserve"> and in future years charge will be done in such a way as to ensure that</w:t>
      </w:r>
      <w:r w:rsidR="00B46B5E">
        <w:rPr>
          <w:rFonts w:ascii="Arial" w:hAnsi="Arial" w:cs="Arial"/>
          <w:szCs w:val="24"/>
        </w:rPr>
        <w:t>:-</w:t>
      </w:r>
      <w:r w:rsidR="005804A2">
        <w:rPr>
          <w:rFonts w:ascii="Arial" w:hAnsi="Arial" w:cs="Arial"/>
          <w:szCs w:val="24"/>
        </w:rPr>
        <w:br/>
      </w:r>
    </w:p>
    <w:p w:rsidR="007403EB" w:rsidRPr="005804A2" w:rsidRDefault="00B46B5E" w:rsidP="00767FE5">
      <w:pPr>
        <w:numPr>
          <w:ilvl w:val="4"/>
          <w:numId w:val="1"/>
        </w:numPr>
        <w:rPr>
          <w:rFonts w:ascii="Arial" w:hAnsi="Arial" w:cs="Arial"/>
          <w:szCs w:val="24"/>
        </w:rPr>
      </w:pPr>
      <w:r w:rsidRPr="005804A2">
        <w:rPr>
          <w:rFonts w:ascii="Arial" w:hAnsi="Arial" w:cs="Arial"/>
          <w:szCs w:val="24"/>
        </w:rPr>
        <w:t>t</w:t>
      </w:r>
      <w:r w:rsidR="007403EB" w:rsidRPr="005804A2">
        <w:rPr>
          <w:rFonts w:ascii="Arial" w:hAnsi="Arial" w:cs="Arial"/>
          <w:szCs w:val="24"/>
        </w:rPr>
        <w:t xml:space="preserve">he total MRP after applying the adjustment will not be less </w:t>
      </w:r>
      <w:r w:rsidRPr="005804A2">
        <w:rPr>
          <w:rFonts w:ascii="Arial" w:hAnsi="Arial" w:cs="Arial"/>
          <w:szCs w:val="24"/>
        </w:rPr>
        <w:t>than zero in any financial year,</w:t>
      </w:r>
      <w:r w:rsidR="005804A2">
        <w:rPr>
          <w:rFonts w:ascii="Arial" w:hAnsi="Arial" w:cs="Arial"/>
          <w:szCs w:val="24"/>
        </w:rPr>
        <w:br/>
      </w:r>
    </w:p>
    <w:p w:rsidR="007403EB" w:rsidRPr="007403EB" w:rsidRDefault="00B46B5E" w:rsidP="00767FE5">
      <w:pPr>
        <w:numPr>
          <w:ilvl w:val="4"/>
          <w:numId w:val="1"/>
        </w:numPr>
        <w:rPr>
          <w:rFonts w:ascii="Arial" w:hAnsi="Arial" w:cs="Arial"/>
          <w:szCs w:val="24"/>
        </w:rPr>
      </w:pPr>
      <w:r>
        <w:rPr>
          <w:rFonts w:ascii="Arial" w:hAnsi="Arial" w:cs="Arial"/>
          <w:szCs w:val="24"/>
        </w:rPr>
        <w:t>t</w:t>
      </w:r>
      <w:r w:rsidR="007403EB" w:rsidRPr="007403EB">
        <w:rPr>
          <w:rFonts w:ascii="Arial" w:hAnsi="Arial" w:cs="Arial"/>
          <w:szCs w:val="24"/>
        </w:rPr>
        <w:t>he cumulative amount adjusted for will never</w:t>
      </w:r>
      <w:r>
        <w:rPr>
          <w:rFonts w:ascii="Arial" w:hAnsi="Arial" w:cs="Arial"/>
          <w:szCs w:val="24"/>
        </w:rPr>
        <w:t xml:space="preserve"> exceed the amount over-charged,</w:t>
      </w:r>
      <w:r w:rsidR="005804A2">
        <w:rPr>
          <w:rFonts w:ascii="Arial" w:hAnsi="Arial" w:cs="Arial"/>
          <w:szCs w:val="24"/>
        </w:rPr>
        <w:br/>
      </w:r>
    </w:p>
    <w:p w:rsidR="007403EB" w:rsidRDefault="00B46B5E" w:rsidP="00767FE5">
      <w:pPr>
        <w:numPr>
          <w:ilvl w:val="4"/>
          <w:numId w:val="1"/>
        </w:numPr>
        <w:rPr>
          <w:rFonts w:ascii="Arial" w:hAnsi="Arial" w:cs="Arial"/>
          <w:szCs w:val="24"/>
        </w:rPr>
      </w:pPr>
      <w:proofErr w:type="gramStart"/>
      <w:r>
        <w:rPr>
          <w:rFonts w:ascii="Arial" w:hAnsi="Arial" w:cs="Arial"/>
          <w:szCs w:val="24"/>
        </w:rPr>
        <w:t>t</w:t>
      </w:r>
      <w:r w:rsidR="007403EB" w:rsidRPr="007403EB">
        <w:rPr>
          <w:rFonts w:ascii="Arial" w:hAnsi="Arial" w:cs="Arial"/>
          <w:szCs w:val="24"/>
        </w:rPr>
        <w:t>he</w:t>
      </w:r>
      <w:proofErr w:type="gramEnd"/>
      <w:r w:rsidR="007403EB" w:rsidRPr="007403EB">
        <w:rPr>
          <w:rFonts w:ascii="Arial" w:hAnsi="Arial" w:cs="Arial"/>
          <w:szCs w:val="24"/>
        </w:rPr>
        <w:t xml:space="preserve"> extent of the adjustment will be reviewed on an annual basis.</w:t>
      </w:r>
    </w:p>
    <w:p w:rsidR="00767FE5" w:rsidRDefault="00767FE5" w:rsidP="00767FE5">
      <w:pPr>
        <w:ind w:left="2971"/>
        <w:rPr>
          <w:rFonts w:ascii="Arial" w:hAnsi="Arial" w:cs="Arial"/>
          <w:szCs w:val="24"/>
        </w:rPr>
      </w:pPr>
    </w:p>
    <w:p w:rsidR="00767FE5" w:rsidRDefault="00767FE5" w:rsidP="00767FE5">
      <w:pPr>
        <w:numPr>
          <w:ilvl w:val="0"/>
          <w:numId w:val="1"/>
        </w:numPr>
        <w:rPr>
          <w:rFonts w:ascii="Arial" w:hAnsi="Arial" w:cs="Arial"/>
          <w:szCs w:val="24"/>
        </w:rPr>
      </w:pPr>
      <w:r w:rsidRPr="00767FE5">
        <w:rPr>
          <w:rFonts w:ascii="Arial" w:hAnsi="Arial" w:cs="Arial"/>
          <w:szCs w:val="24"/>
        </w:rPr>
        <w:t>There is no requirement on the HRA to make a minimum revenue provision but there is a requirement for a charge for depreciation to be made</w:t>
      </w:r>
      <w:r>
        <w:rPr>
          <w:rFonts w:ascii="Arial" w:hAnsi="Arial" w:cs="Arial"/>
          <w:szCs w:val="24"/>
        </w:rPr>
        <w:t>.</w:t>
      </w:r>
    </w:p>
    <w:p w:rsidR="00767FE5" w:rsidRDefault="00767FE5" w:rsidP="00767FE5">
      <w:pPr>
        <w:ind w:left="567"/>
        <w:rPr>
          <w:rFonts w:ascii="Arial" w:hAnsi="Arial" w:cs="Arial"/>
          <w:szCs w:val="24"/>
        </w:rPr>
      </w:pPr>
    </w:p>
    <w:p w:rsidR="00767FE5" w:rsidRDefault="00767FE5" w:rsidP="00767FE5">
      <w:pPr>
        <w:numPr>
          <w:ilvl w:val="0"/>
          <w:numId w:val="1"/>
        </w:numPr>
        <w:rPr>
          <w:rFonts w:ascii="Arial" w:hAnsi="Arial" w:cs="Arial"/>
          <w:szCs w:val="24"/>
        </w:rPr>
      </w:pPr>
      <w:r w:rsidRPr="00767FE5">
        <w:rPr>
          <w:rFonts w:ascii="Arial" w:hAnsi="Arial" w:cs="Arial"/>
          <w:szCs w:val="24"/>
        </w:rPr>
        <w:t>Repayments included in annual PFI or finance leases are applied as MRP</w:t>
      </w:r>
      <w:r>
        <w:rPr>
          <w:rFonts w:ascii="Arial" w:hAnsi="Arial" w:cs="Arial"/>
          <w:szCs w:val="24"/>
        </w:rPr>
        <w:t>.</w:t>
      </w:r>
    </w:p>
    <w:p w:rsidR="005804A2" w:rsidRPr="007403EB" w:rsidRDefault="005804A2" w:rsidP="005804A2">
      <w:pPr>
        <w:ind w:left="1134"/>
        <w:rPr>
          <w:rFonts w:ascii="Arial" w:hAnsi="Arial" w:cs="Arial"/>
          <w:szCs w:val="24"/>
        </w:rPr>
      </w:pPr>
    </w:p>
    <w:p w:rsidR="006B0386" w:rsidRDefault="006B0386" w:rsidP="005804A2">
      <w:pPr>
        <w:pStyle w:val="Heading3"/>
        <w:keepNext w:val="0"/>
        <w:spacing w:before="0" w:after="0"/>
        <w:rPr>
          <w:sz w:val="24"/>
          <w:szCs w:val="22"/>
        </w:rPr>
      </w:pPr>
      <w:r w:rsidRPr="006B0386">
        <w:rPr>
          <w:sz w:val="24"/>
          <w:szCs w:val="22"/>
        </w:rPr>
        <w:t>Affordability Prudential Indicators</w:t>
      </w:r>
    </w:p>
    <w:p w:rsidR="005804A2" w:rsidRPr="005804A2" w:rsidRDefault="005804A2" w:rsidP="005804A2"/>
    <w:p w:rsidR="006B0386" w:rsidRPr="00A65BED" w:rsidRDefault="006B0386" w:rsidP="005804A2">
      <w:pPr>
        <w:numPr>
          <w:ilvl w:val="0"/>
          <w:numId w:val="1"/>
        </w:numPr>
        <w:tabs>
          <w:tab w:val="num" w:pos="0"/>
        </w:tabs>
        <w:rPr>
          <w:rFonts w:ascii="Arial" w:hAnsi="Arial" w:cs="Arial"/>
          <w:szCs w:val="22"/>
        </w:rPr>
      </w:pPr>
      <w:r w:rsidRPr="00A65BED">
        <w:rPr>
          <w:rFonts w:ascii="Arial" w:hAnsi="Arial" w:cs="Arial"/>
          <w:bCs/>
          <w:szCs w:val="22"/>
        </w:rPr>
        <w:t>The previous sections cover the overall capital and control of borrowing</w:t>
      </w:r>
      <w:r w:rsidRPr="00A65BED">
        <w:rPr>
          <w:rFonts w:ascii="Arial" w:hAnsi="Arial" w:cs="Arial"/>
          <w:szCs w:val="22"/>
        </w:rPr>
        <w:t xml:space="preserve"> prudential indicators, but within this framework prudential indicators are required to assess the affordability of the capital investment plans. These provide an indication of the impact of the capital investment plans on the Council’s overall finances. The Council is asked to approve the following indicators</w:t>
      </w:r>
      <w:r w:rsidR="00251B9C" w:rsidRPr="00A65BED">
        <w:rPr>
          <w:rFonts w:ascii="Arial" w:hAnsi="Arial" w:cs="Arial"/>
          <w:szCs w:val="22"/>
        </w:rPr>
        <w:t>.</w:t>
      </w:r>
    </w:p>
    <w:p w:rsidR="006B0386" w:rsidRPr="00EE2184" w:rsidRDefault="006B0386" w:rsidP="005804A2">
      <w:pPr>
        <w:rPr>
          <w:rFonts w:ascii="Arial" w:hAnsi="Arial" w:cs="Arial"/>
          <w:szCs w:val="22"/>
          <w:highlight w:val="yellow"/>
        </w:rPr>
      </w:pPr>
    </w:p>
    <w:p w:rsidR="006B0386" w:rsidRPr="00A65BED" w:rsidRDefault="006B0386" w:rsidP="005804A2">
      <w:pPr>
        <w:jc w:val="both"/>
        <w:rPr>
          <w:rFonts w:ascii="Arial" w:hAnsi="Arial" w:cs="Arial"/>
          <w:b/>
          <w:bCs/>
          <w:szCs w:val="22"/>
        </w:rPr>
      </w:pPr>
      <w:r w:rsidRPr="00A65BED">
        <w:rPr>
          <w:rFonts w:ascii="Arial" w:hAnsi="Arial" w:cs="Arial"/>
          <w:b/>
          <w:bCs/>
          <w:szCs w:val="22"/>
        </w:rPr>
        <w:t>Estimates of the ratio of financing costs to net revenue stream.</w:t>
      </w:r>
    </w:p>
    <w:p w:rsidR="006B0386" w:rsidRPr="00A65BED" w:rsidRDefault="006B0386" w:rsidP="005804A2">
      <w:pPr>
        <w:jc w:val="both"/>
        <w:rPr>
          <w:rFonts w:ascii="Arial" w:hAnsi="Arial" w:cs="Arial"/>
          <w:sz w:val="22"/>
          <w:szCs w:val="22"/>
        </w:rPr>
      </w:pPr>
    </w:p>
    <w:p w:rsidR="006B0386" w:rsidRPr="00A65BED" w:rsidRDefault="006B0386" w:rsidP="005804A2">
      <w:pPr>
        <w:numPr>
          <w:ilvl w:val="0"/>
          <w:numId w:val="1"/>
        </w:numPr>
        <w:tabs>
          <w:tab w:val="num" w:pos="0"/>
        </w:tabs>
        <w:rPr>
          <w:rFonts w:ascii="Arial" w:hAnsi="Arial" w:cs="Arial"/>
          <w:szCs w:val="22"/>
        </w:rPr>
      </w:pPr>
      <w:r w:rsidRPr="00A65BED">
        <w:rPr>
          <w:rFonts w:ascii="Arial" w:hAnsi="Arial" w:cs="Arial"/>
          <w:szCs w:val="22"/>
        </w:rPr>
        <w:t>This indicator identifies the trend in the cost of capital (borrowing and other long term obligation costs net of investment income) against the net revenue stream.</w:t>
      </w:r>
    </w:p>
    <w:p w:rsidR="00AF4F61" w:rsidRPr="00A65BED" w:rsidRDefault="00AF4F61" w:rsidP="005804A2">
      <w:pPr>
        <w:rPr>
          <w:rFonts w:ascii="Arial" w:hAnsi="Arial" w:cs="Arial"/>
          <w:szCs w:val="22"/>
        </w:rPr>
      </w:pPr>
    </w:p>
    <w:p w:rsidR="00116C42" w:rsidRDefault="00116C42" w:rsidP="005804A2">
      <w:pPr>
        <w:rPr>
          <w:rFonts w:ascii="Arial" w:hAnsi="Arial" w:cs="Arial"/>
          <w:b/>
          <w:szCs w:val="24"/>
        </w:rPr>
      </w:pPr>
    </w:p>
    <w:p w:rsidR="00116C42" w:rsidRDefault="00116C42" w:rsidP="005804A2">
      <w:pPr>
        <w:rPr>
          <w:rFonts w:ascii="Arial" w:hAnsi="Arial" w:cs="Arial"/>
          <w:b/>
          <w:szCs w:val="24"/>
        </w:rPr>
      </w:pPr>
    </w:p>
    <w:p w:rsidR="006B0386" w:rsidRPr="00A65BED" w:rsidRDefault="007B6896" w:rsidP="005804A2">
      <w:pPr>
        <w:rPr>
          <w:rFonts w:ascii="Arial" w:hAnsi="Arial" w:cs="Arial"/>
          <w:b/>
          <w:szCs w:val="24"/>
        </w:rPr>
      </w:pPr>
      <w:r w:rsidRPr="00A65BED">
        <w:rPr>
          <w:rFonts w:ascii="Arial" w:hAnsi="Arial" w:cs="Arial"/>
          <w:b/>
          <w:szCs w:val="24"/>
        </w:rPr>
        <w:lastRenderedPageBreak/>
        <w:t xml:space="preserve">Table </w:t>
      </w:r>
      <w:r w:rsidR="00BC3DA3">
        <w:rPr>
          <w:rFonts w:ascii="Arial" w:hAnsi="Arial" w:cs="Arial"/>
          <w:b/>
          <w:szCs w:val="24"/>
        </w:rPr>
        <w:t>6</w:t>
      </w:r>
      <w:r w:rsidR="006B0386" w:rsidRPr="00A65BED">
        <w:rPr>
          <w:rFonts w:ascii="Arial" w:hAnsi="Arial" w:cs="Arial"/>
          <w:b/>
          <w:szCs w:val="24"/>
        </w:rPr>
        <w:t xml:space="preserve"> - Ratio of financing costs to net revenue stream</w:t>
      </w:r>
    </w:p>
    <w:p w:rsidR="00D465D6" w:rsidRPr="00A65BED" w:rsidRDefault="00D465D6" w:rsidP="005804A2">
      <w:pPr>
        <w:rPr>
          <w:rFonts w:ascii="Arial" w:hAnsi="Arial" w:cs="Arial"/>
          <w:b/>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51"/>
        <w:gridCol w:w="1251"/>
        <w:gridCol w:w="1251"/>
        <w:gridCol w:w="1251"/>
      </w:tblGrid>
      <w:tr w:rsidR="000C1EE0" w:rsidRPr="00A65BED" w:rsidTr="006C7D92">
        <w:tc>
          <w:tcPr>
            <w:tcW w:w="2160" w:type="dxa"/>
            <w:shd w:val="clear" w:color="auto" w:fill="D9D9D9"/>
          </w:tcPr>
          <w:p w:rsidR="000C1EE0" w:rsidRPr="00A65BED" w:rsidRDefault="000C1EE0" w:rsidP="005804A2">
            <w:pPr>
              <w:jc w:val="both"/>
              <w:rPr>
                <w:rFonts w:ascii="Arial" w:hAnsi="Arial" w:cs="Arial"/>
                <w:sz w:val="22"/>
                <w:szCs w:val="22"/>
              </w:rPr>
            </w:pPr>
          </w:p>
        </w:tc>
        <w:tc>
          <w:tcPr>
            <w:tcW w:w="1251" w:type="dxa"/>
            <w:shd w:val="clear" w:color="auto" w:fill="D9D9D9"/>
          </w:tcPr>
          <w:p w:rsidR="000C1EE0" w:rsidRPr="00A65BED" w:rsidRDefault="000C1EE0" w:rsidP="000C1EE0">
            <w:pPr>
              <w:pStyle w:val="BodyText"/>
              <w:spacing w:after="0"/>
              <w:jc w:val="center"/>
              <w:rPr>
                <w:rFonts w:ascii="Arial" w:hAnsi="Arial" w:cs="Arial"/>
                <w:b/>
                <w:bCs/>
                <w:sz w:val="22"/>
                <w:szCs w:val="22"/>
              </w:rPr>
            </w:pPr>
            <w:r w:rsidRPr="00A65BED">
              <w:rPr>
                <w:rFonts w:ascii="Arial" w:hAnsi="Arial" w:cs="Arial"/>
                <w:b/>
                <w:bCs/>
                <w:sz w:val="22"/>
                <w:szCs w:val="22"/>
              </w:rPr>
              <w:t>201</w:t>
            </w:r>
            <w:r w:rsidR="007D0828" w:rsidRPr="00A65BED">
              <w:rPr>
                <w:rFonts w:ascii="Arial" w:hAnsi="Arial" w:cs="Arial"/>
                <w:b/>
                <w:bCs/>
                <w:sz w:val="22"/>
                <w:szCs w:val="22"/>
              </w:rPr>
              <w:t>8</w:t>
            </w:r>
            <w:r w:rsidRPr="00A65BED">
              <w:rPr>
                <w:rFonts w:ascii="Arial" w:hAnsi="Arial" w:cs="Arial"/>
                <w:b/>
                <w:bCs/>
                <w:sz w:val="22"/>
                <w:szCs w:val="22"/>
              </w:rPr>
              <w:t>/1</w:t>
            </w:r>
            <w:r w:rsidR="007D0828" w:rsidRPr="00A65BED">
              <w:rPr>
                <w:rFonts w:ascii="Arial" w:hAnsi="Arial" w:cs="Arial"/>
                <w:b/>
                <w:bCs/>
                <w:sz w:val="22"/>
                <w:szCs w:val="22"/>
              </w:rPr>
              <w:t>9</w:t>
            </w:r>
          </w:p>
          <w:p w:rsidR="00F45AC7" w:rsidRPr="00A65BED" w:rsidRDefault="00F45AC7" w:rsidP="000C1EE0">
            <w:pPr>
              <w:pStyle w:val="BodyText"/>
              <w:spacing w:after="0"/>
              <w:jc w:val="center"/>
              <w:rPr>
                <w:rFonts w:ascii="Arial" w:hAnsi="Arial" w:cs="Arial"/>
                <w:b/>
                <w:bCs/>
                <w:sz w:val="22"/>
                <w:szCs w:val="22"/>
              </w:rPr>
            </w:pPr>
            <w:r w:rsidRPr="00A65BED">
              <w:rPr>
                <w:rFonts w:ascii="Arial" w:hAnsi="Arial" w:cs="Arial"/>
                <w:b/>
                <w:bCs/>
                <w:sz w:val="22"/>
                <w:szCs w:val="22"/>
              </w:rPr>
              <w:t>Revised</w:t>
            </w:r>
          </w:p>
          <w:p w:rsidR="000C1EE0" w:rsidRPr="00A65BED" w:rsidRDefault="000C1EE0" w:rsidP="007D0828">
            <w:pPr>
              <w:pStyle w:val="BodyText"/>
              <w:spacing w:after="0"/>
              <w:jc w:val="center"/>
              <w:rPr>
                <w:rFonts w:ascii="Arial" w:hAnsi="Arial" w:cs="Arial"/>
                <w:b/>
                <w:bCs/>
                <w:sz w:val="22"/>
                <w:szCs w:val="22"/>
              </w:rPr>
            </w:pPr>
            <w:r w:rsidRPr="00A65BED">
              <w:rPr>
                <w:rFonts w:ascii="Arial" w:hAnsi="Arial" w:cs="Arial"/>
                <w:b/>
                <w:bCs/>
                <w:sz w:val="22"/>
                <w:szCs w:val="22"/>
              </w:rPr>
              <w:t>£</w:t>
            </w:r>
            <w:r w:rsidR="007D0828" w:rsidRPr="00A65BED">
              <w:rPr>
                <w:rFonts w:ascii="Arial" w:hAnsi="Arial" w:cs="Arial"/>
                <w:b/>
                <w:bCs/>
                <w:sz w:val="22"/>
                <w:szCs w:val="22"/>
              </w:rPr>
              <w:t>m</w:t>
            </w:r>
          </w:p>
        </w:tc>
        <w:tc>
          <w:tcPr>
            <w:tcW w:w="1251" w:type="dxa"/>
            <w:shd w:val="clear" w:color="auto" w:fill="D9D9D9"/>
          </w:tcPr>
          <w:p w:rsidR="000C1EE0" w:rsidRPr="00A65BED" w:rsidRDefault="000C1EE0" w:rsidP="000C1EE0">
            <w:pPr>
              <w:pStyle w:val="BodyText"/>
              <w:spacing w:after="0"/>
              <w:jc w:val="center"/>
              <w:rPr>
                <w:rFonts w:ascii="Arial" w:hAnsi="Arial" w:cs="Arial"/>
                <w:b/>
                <w:bCs/>
                <w:sz w:val="22"/>
                <w:szCs w:val="22"/>
              </w:rPr>
            </w:pPr>
            <w:r w:rsidRPr="00A65BED">
              <w:rPr>
                <w:rFonts w:ascii="Arial" w:hAnsi="Arial" w:cs="Arial"/>
                <w:b/>
                <w:bCs/>
                <w:sz w:val="22"/>
                <w:szCs w:val="22"/>
              </w:rPr>
              <w:t>201</w:t>
            </w:r>
            <w:r w:rsidR="00A65BED" w:rsidRPr="00A65BED">
              <w:rPr>
                <w:rFonts w:ascii="Arial" w:hAnsi="Arial" w:cs="Arial"/>
                <w:b/>
                <w:bCs/>
                <w:sz w:val="22"/>
                <w:szCs w:val="22"/>
              </w:rPr>
              <w:t>9</w:t>
            </w:r>
            <w:r w:rsidRPr="00A65BED">
              <w:rPr>
                <w:rFonts w:ascii="Arial" w:hAnsi="Arial" w:cs="Arial"/>
                <w:b/>
                <w:bCs/>
                <w:sz w:val="22"/>
                <w:szCs w:val="22"/>
              </w:rPr>
              <w:t>/</w:t>
            </w:r>
            <w:r w:rsidR="00A65BED" w:rsidRPr="00A65BED">
              <w:rPr>
                <w:rFonts w:ascii="Arial" w:hAnsi="Arial" w:cs="Arial"/>
                <w:b/>
                <w:bCs/>
                <w:sz w:val="22"/>
                <w:szCs w:val="22"/>
              </w:rPr>
              <w:t>20</w:t>
            </w:r>
          </w:p>
          <w:p w:rsidR="000C1EE0" w:rsidRPr="00A65BED" w:rsidRDefault="000C1EE0" w:rsidP="000C1EE0">
            <w:pPr>
              <w:pStyle w:val="BodyText"/>
              <w:spacing w:after="0"/>
              <w:jc w:val="center"/>
              <w:rPr>
                <w:rFonts w:ascii="Arial" w:hAnsi="Arial" w:cs="Arial"/>
                <w:b/>
                <w:bCs/>
                <w:sz w:val="22"/>
                <w:szCs w:val="22"/>
              </w:rPr>
            </w:pPr>
            <w:r w:rsidRPr="00A65BED">
              <w:rPr>
                <w:rFonts w:ascii="Arial" w:hAnsi="Arial" w:cs="Arial"/>
                <w:b/>
                <w:bCs/>
                <w:sz w:val="22"/>
                <w:szCs w:val="22"/>
              </w:rPr>
              <w:t>Estimate £</w:t>
            </w:r>
            <w:r w:rsidR="00A65BED" w:rsidRPr="00A65BED">
              <w:rPr>
                <w:rFonts w:ascii="Arial" w:hAnsi="Arial" w:cs="Arial"/>
                <w:b/>
                <w:bCs/>
                <w:sz w:val="22"/>
                <w:szCs w:val="22"/>
              </w:rPr>
              <w:t>m</w:t>
            </w:r>
          </w:p>
        </w:tc>
        <w:tc>
          <w:tcPr>
            <w:tcW w:w="1251" w:type="dxa"/>
            <w:shd w:val="clear" w:color="auto" w:fill="D9D9D9"/>
          </w:tcPr>
          <w:p w:rsidR="000C1EE0" w:rsidRPr="00A65BED" w:rsidRDefault="000C1EE0" w:rsidP="000C1EE0">
            <w:pPr>
              <w:pStyle w:val="BodyText"/>
              <w:spacing w:after="0"/>
              <w:jc w:val="center"/>
              <w:rPr>
                <w:rFonts w:ascii="Arial" w:hAnsi="Arial" w:cs="Arial"/>
                <w:b/>
                <w:bCs/>
                <w:sz w:val="22"/>
                <w:szCs w:val="22"/>
              </w:rPr>
            </w:pPr>
            <w:r w:rsidRPr="00A65BED">
              <w:rPr>
                <w:rFonts w:ascii="Arial" w:hAnsi="Arial" w:cs="Arial"/>
                <w:b/>
                <w:bCs/>
                <w:sz w:val="22"/>
                <w:szCs w:val="22"/>
              </w:rPr>
              <w:t>20</w:t>
            </w:r>
            <w:r w:rsidR="00A65BED" w:rsidRPr="00A65BED">
              <w:rPr>
                <w:rFonts w:ascii="Arial" w:hAnsi="Arial" w:cs="Arial"/>
                <w:b/>
                <w:bCs/>
                <w:sz w:val="22"/>
                <w:szCs w:val="22"/>
              </w:rPr>
              <w:t>20</w:t>
            </w:r>
            <w:r w:rsidRPr="00A65BED">
              <w:rPr>
                <w:rFonts w:ascii="Arial" w:hAnsi="Arial" w:cs="Arial"/>
                <w:b/>
                <w:bCs/>
                <w:sz w:val="22"/>
                <w:szCs w:val="22"/>
              </w:rPr>
              <w:t>/2</w:t>
            </w:r>
            <w:r w:rsidR="00A65BED" w:rsidRPr="00A65BED">
              <w:rPr>
                <w:rFonts w:ascii="Arial" w:hAnsi="Arial" w:cs="Arial"/>
                <w:b/>
                <w:bCs/>
                <w:sz w:val="22"/>
                <w:szCs w:val="22"/>
              </w:rPr>
              <w:t>1</w:t>
            </w:r>
          </w:p>
          <w:p w:rsidR="000C1EE0" w:rsidRPr="00A65BED" w:rsidRDefault="000C1EE0" w:rsidP="000C1EE0">
            <w:pPr>
              <w:pStyle w:val="BodyText"/>
              <w:spacing w:after="0"/>
              <w:jc w:val="center"/>
              <w:rPr>
                <w:rFonts w:ascii="Arial" w:hAnsi="Arial" w:cs="Arial"/>
                <w:b/>
                <w:bCs/>
                <w:sz w:val="22"/>
                <w:szCs w:val="22"/>
              </w:rPr>
            </w:pPr>
            <w:r w:rsidRPr="00A65BED">
              <w:rPr>
                <w:rFonts w:ascii="Arial" w:hAnsi="Arial" w:cs="Arial"/>
                <w:b/>
                <w:bCs/>
                <w:sz w:val="22"/>
                <w:szCs w:val="22"/>
              </w:rPr>
              <w:t>Estimate £</w:t>
            </w:r>
            <w:r w:rsidR="00A65BED" w:rsidRPr="00A65BED">
              <w:rPr>
                <w:rFonts w:ascii="Arial" w:hAnsi="Arial" w:cs="Arial"/>
                <w:b/>
                <w:bCs/>
                <w:sz w:val="22"/>
                <w:szCs w:val="22"/>
              </w:rPr>
              <w:t>m</w:t>
            </w:r>
          </w:p>
        </w:tc>
        <w:tc>
          <w:tcPr>
            <w:tcW w:w="1251" w:type="dxa"/>
            <w:shd w:val="clear" w:color="auto" w:fill="D9D9D9"/>
          </w:tcPr>
          <w:p w:rsidR="000C1EE0" w:rsidRPr="00A65BED" w:rsidRDefault="00F45AC7" w:rsidP="000C1EE0">
            <w:pPr>
              <w:pStyle w:val="BodyText"/>
              <w:spacing w:after="0"/>
              <w:jc w:val="center"/>
              <w:rPr>
                <w:rFonts w:ascii="Arial" w:hAnsi="Arial" w:cs="Arial"/>
                <w:b/>
                <w:bCs/>
                <w:sz w:val="22"/>
                <w:szCs w:val="22"/>
              </w:rPr>
            </w:pPr>
            <w:r w:rsidRPr="00A65BED">
              <w:rPr>
                <w:rFonts w:ascii="Arial" w:hAnsi="Arial" w:cs="Arial"/>
                <w:b/>
                <w:bCs/>
                <w:sz w:val="22"/>
                <w:szCs w:val="22"/>
              </w:rPr>
              <w:t>202</w:t>
            </w:r>
            <w:r w:rsidR="00A65BED" w:rsidRPr="00A65BED">
              <w:rPr>
                <w:rFonts w:ascii="Arial" w:hAnsi="Arial" w:cs="Arial"/>
                <w:b/>
                <w:bCs/>
                <w:sz w:val="22"/>
                <w:szCs w:val="22"/>
              </w:rPr>
              <w:t>1</w:t>
            </w:r>
            <w:r w:rsidR="000C1EE0" w:rsidRPr="00A65BED">
              <w:rPr>
                <w:rFonts w:ascii="Arial" w:hAnsi="Arial" w:cs="Arial"/>
                <w:b/>
                <w:bCs/>
                <w:sz w:val="22"/>
                <w:szCs w:val="22"/>
              </w:rPr>
              <w:t>/2</w:t>
            </w:r>
            <w:r w:rsidR="00A65BED" w:rsidRPr="00A65BED">
              <w:rPr>
                <w:rFonts w:ascii="Arial" w:hAnsi="Arial" w:cs="Arial"/>
                <w:b/>
                <w:bCs/>
                <w:sz w:val="22"/>
                <w:szCs w:val="22"/>
              </w:rPr>
              <w:t>2</w:t>
            </w:r>
          </w:p>
          <w:p w:rsidR="000C1EE0" w:rsidRPr="00A65BED" w:rsidRDefault="000C1EE0" w:rsidP="000C1EE0">
            <w:pPr>
              <w:pStyle w:val="BodyText"/>
              <w:spacing w:after="0"/>
              <w:jc w:val="center"/>
              <w:rPr>
                <w:rFonts w:ascii="Arial" w:hAnsi="Arial" w:cs="Arial"/>
                <w:b/>
                <w:bCs/>
                <w:sz w:val="22"/>
                <w:szCs w:val="22"/>
              </w:rPr>
            </w:pPr>
            <w:r w:rsidRPr="00A65BED">
              <w:rPr>
                <w:rFonts w:ascii="Arial" w:hAnsi="Arial" w:cs="Arial"/>
                <w:b/>
                <w:bCs/>
                <w:sz w:val="22"/>
                <w:szCs w:val="22"/>
              </w:rPr>
              <w:t>Estimate £</w:t>
            </w:r>
            <w:r w:rsidR="00A65BED" w:rsidRPr="00A65BED">
              <w:rPr>
                <w:rFonts w:ascii="Arial" w:hAnsi="Arial" w:cs="Arial"/>
                <w:b/>
                <w:bCs/>
                <w:sz w:val="22"/>
                <w:szCs w:val="22"/>
              </w:rPr>
              <w:t>m</w:t>
            </w:r>
          </w:p>
        </w:tc>
      </w:tr>
      <w:tr w:rsidR="000C1EE0" w:rsidRPr="00A65BED" w:rsidTr="006C7D92">
        <w:tc>
          <w:tcPr>
            <w:tcW w:w="2160" w:type="dxa"/>
          </w:tcPr>
          <w:p w:rsidR="000C1EE0" w:rsidRPr="00A65BED" w:rsidRDefault="000C1EE0" w:rsidP="005804A2">
            <w:pPr>
              <w:rPr>
                <w:rFonts w:ascii="Arial" w:hAnsi="Arial" w:cs="Arial"/>
                <w:sz w:val="22"/>
                <w:szCs w:val="22"/>
              </w:rPr>
            </w:pPr>
            <w:r w:rsidRPr="00A65BED">
              <w:rPr>
                <w:rFonts w:ascii="Arial" w:hAnsi="Arial" w:cs="Arial"/>
                <w:sz w:val="22"/>
                <w:szCs w:val="22"/>
              </w:rPr>
              <w:t xml:space="preserve">General Fund </w:t>
            </w:r>
          </w:p>
        </w:tc>
        <w:tc>
          <w:tcPr>
            <w:tcW w:w="1251" w:type="dxa"/>
            <w:vAlign w:val="center"/>
          </w:tcPr>
          <w:p w:rsidR="000C1EE0" w:rsidRPr="00A65BED" w:rsidRDefault="007D0828" w:rsidP="007C1962">
            <w:pPr>
              <w:jc w:val="center"/>
              <w:rPr>
                <w:rFonts w:ascii="Arial" w:hAnsi="Arial" w:cs="Arial"/>
                <w:sz w:val="22"/>
                <w:szCs w:val="22"/>
              </w:rPr>
            </w:pPr>
            <w:r w:rsidRPr="00A65BED">
              <w:rPr>
                <w:rFonts w:ascii="Arial" w:hAnsi="Arial" w:cs="Arial"/>
                <w:sz w:val="22"/>
                <w:szCs w:val="22"/>
              </w:rPr>
              <w:t>3.</w:t>
            </w:r>
            <w:r w:rsidR="007C1962">
              <w:rPr>
                <w:rFonts w:ascii="Arial" w:hAnsi="Arial" w:cs="Arial"/>
                <w:sz w:val="22"/>
                <w:szCs w:val="22"/>
              </w:rPr>
              <w:t>0</w:t>
            </w:r>
            <w:r w:rsidRPr="00A65BED">
              <w:rPr>
                <w:rFonts w:ascii="Arial" w:hAnsi="Arial" w:cs="Arial"/>
                <w:sz w:val="22"/>
                <w:szCs w:val="22"/>
              </w:rPr>
              <w:t>3</w:t>
            </w:r>
            <w:r w:rsidR="00FA4A06" w:rsidRPr="00A65BED">
              <w:rPr>
                <w:rFonts w:ascii="Arial" w:hAnsi="Arial" w:cs="Arial"/>
                <w:sz w:val="22"/>
                <w:szCs w:val="22"/>
              </w:rPr>
              <w:t>%</w:t>
            </w:r>
          </w:p>
        </w:tc>
        <w:tc>
          <w:tcPr>
            <w:tcW w:w="1251" w:type="dxa"/>
            <w:vAlign w:val="center"/>
          </w:tcPr>
          <w:p w:rsidR="000C1EE0" w:rsidRPr="00A65BED" w:rsidRDefault="00A65BED" w:rsidP="007C1962">
            <w:pPr>
              <w:jc w:val="center"/>
              <w:rPr>
                <w:rFonts w:ascii="Arial" w:hAnsi="Arial" w:cs="Arial"/>
                <w:sz w:val="22"/>
                <w:szCs w:val="22"/>
              </w:rPr>
            </w:pPr>
            <w:r w:rsidRPr="00A65BED">
              <w:rPr>
                <w:rFonts w:ascii="Arial" w:hAnsi="Arial" w:cs="Arial"/>
                <w:sz w:val="22"/>
                <w:szCs w:val="22"/>
              </w:rPr>
              <w:t>2</w:t>
            </w:r>
            <w:r w:rsidR="000D64DC" w:rsidRPr="00A65BED">
              <w:rPr>
                <w:rFonts w:ascii="Arial" w:hAnsi="Arial" w:cs="Arial"/>
                <w:sz w:val="22"/>
                <w:szCs w:val="22"/>
              </w:rPr>
              <w:t>.</w:t>
            </w:r>
            <w:r w:rsidR="007C1962">
              <w:rPr>
                <w:rFonts w:ascii="Arial" w:hAnsi="Arial" w:cs="Arial"/>
                <w:sz w:val="22"/>
                <w:szCs w:val="22"/>
              </w:rPr>
              <w:t>74</w:t>
            </w:r>
            <w:r w:rsidR="000D64DC" w:rsidRPr="00A65BED">
              <w:rPr>
                <w:rFonts w:ascii="Arial" w:hAnsi="Arial" w:cs="Arial"/>
                <w:sz w:val="22"/>
                <w:szCs w:val="22"/>
              </w:rPr>
              <w:t>%</w:t>
            </w:r>
          </w:p>
        </w:tc>
        <w:tc>
          <w:tcPr>
            <w:tcW w:w="1251" w:type="dxa"/>
            <w:vAlign w:val="center"/>
          </w:tcPr>
          <w:p w:rsidR="000C1EE0" w:rsidRPr="00A65BED" w:rsidRDefault="00A65BED" w:rsidP="007C1962">
            <w:pPr>
              <w:jc w:val="center"/>
              <w:rPr>
                <w:rFonts w:ascii="Arial" w:hAnsi="Arial" w:cs="Arial"/>
                <w:sz w:val="22"/>
                <w:szCs w:val="22"/>
              </w:rPr>
            </w:pPr>
            <w:r w:rsidRPr="00A65BED">
              <w:rPr>
                <w:rFonts w:ascii="Arial" w:hAnsi="Arial" w:cs="Arial"/>
                <w:sz w:val="22"/>
                <w:szCs w:val="22"/>
              </w:rPr>
              <w:t>2</w:t>
            </w:r>
            <w:r w:rsidR="000D64DC" w:rsidRPr="00A65BED">
              <w:rPr>
                <w:rFonts w:ascii="Arial" w:hAnsi="Arial" w:cs="Arial"/>
                <w:sz w:val="22"/>
                <w:szCs w:val="22"/>
              </w:rPr>
              <w:t>.</w:t>
            </w:r>
            <w:r w:rsidR="007C1962">
              <w:rPr>
                <w:rFonts w:ascii="Arial" w:hAnsi="Arial" w:cs="Arial"/>
                <w:sz w:val="22"/>
                <w:szCs w:val="22"/>
              </w:rPr>
              <w:t>98</w:t>
            </w:r>
            <w:r w:rsidRPr="00A65BED">
              <w:rPr>
                <w:rFonts w:ascii="Arial" w:hAnsi="Arial" w:cs="Arial"/>
                <w:sz w:val="22"/>
                <w:szCs w:val="22"/>
              </w:rPr>
              <w:t>%</w:t>
            </w:r>
          </w:p>
        </w:tc>
        <w:tc>
          <w:tcPr>
            <w:tcW w:w="1251" w:type="dxa"/>
            <w:vAlign w:val="center"/>
          </w:tcPr>
          <w:p w:rsidR="000C1EE0" w:rsidRPr="00A65BED" w:rsidRDefault="008B1B60" w:rsidP="008B1B60">
            <w:pPr>
              <w:jc w:val="center"/>
              <w:rPr>
                <w:rFonts w:ascii="Arial" w:hAnsi="Arial" w:cs="Arial"/>
                <w:sz w:val="22"/>
                <w:szCs w:val="22"/>
              </w:rPr>
            </w:pPr>
            <w:r>
              <w:rPr>
                <w:rFonts w:ascii="Arial" w:hAnsi="Arial" w:cs="Arial"/>
                <w:sz w:val="22"/>
                <w:szCs w:val="22"/>
              </w:rPr>
              <w:t>3</w:t>
            </w:r>
            <w:r w:rsidR="000D64DC" w:rsidRPr="00A65BED">
              <w:rPr>
                <w:rFonts w:ascii="Arial" w:hAnsi="Arial" w:cs="Arial"/>
                <w:sz w:val="22"/>
                <w:szCs w:val="22"/>
              </w:rPr>
              <w:t>.</w:t>
            </w:r>
            <w:r>
              <w:rPr>
                <w:rFonts w:ascii="Arial" w:hAnsi="Arial" w:cs="Arial"/>
                <w:sz w:val="22"/>
                <w:szCs w:val="22"/>
              </w:rPr>
              <w:t>03</w:t>
            </w:r>
            <w:r w:rsidR="000D64DC" w:rsidRPr="00A65BED">
              <w:rPr>
                <w:rFonts w:ascii="Arial" w:hAnsi="Arial" w:cs="Arial"/>
                <w:sz w:val="22"/>
                <w:szCs w:val="22"/>
              </w:rPr>
              <w:t>%</w:t>
            </w:r>
          </w:p>
        </w:tc>
      </w:tr>
      <w:tr w:rsidR="000C1EE0" w:rsidRPr="00A65BED" w:rsidTr="006C7D92">
        <w:tc>
          <w:tcPr>
            <w:tcW w:w="2160" w:type="dxa"/>
          </w:tcPr>
          <w:p w:rsidR="000C1EE0" w:rsidRPr="00A65BED" w:rsidRDefault="000C1EE0" w:rsidP="005804A2">
            <w:pPr>
              <w:tabs>
                <w:tab w:val="right" w:pos="990"/>
              </w:tabs>
              <w:rPr>
                <w:rFonts w:ascii="Arial" w:hAnsi="Arial" w:cs="Arial"/>
                <w:sz w:val="22"/>
                <w:szCs w:val="22"/>
              </w:rPr>
            </w:pPr>
            <w:r w:rsidRPr="00A65BED">
              <w:rPr>
                <w:rFonts w:ascii="Arial" w:hAnsi="Arial" w:cs="Arial"/>
                <w:sz w:val="22"/>
                <w:szCs w:val="22"/>
              </w:rPr>
              <w:t xml:space="preserve">HRA </w:t>
            </w:r>
          </w:p>
        </w:tc>
        <w:tc>
          <w:tcPr>
            <w:tcW w:w="1251" w:type="dxa"/>
            <w:vAlign w:val="center"/>
          </w:tcPr>
          <w:p w:rsidR="000C1EE0" w:rsidRPr="00A65BED" w:rsidRDefault="00FA4A06" w:rsidP="00A65BED">
            <w:pPr>
              <w:tabs>
                <w:tab w:val="right" w:pos="882"/>
              </w:tabs>
              <w:jc w:val="center"/>
              <w:rPr>
                <w:rFonts w:ascii="Arial" w:hAnsi="Arial" w:cs="Arial"/>
                <w:sz w:val="22"/>
                <w:szCs w:val="22"/>
              </w:rPr>
            </w:pPr>
            <w:r w:rsidRPr="00A65BED">
              <w:rPr>
                <w:rFonts w:ascii="Arial" w:hAnsi="Arial" w:cs="Arial"/>
                <w:sz w:val="22"/>
                <w:szCs w:val="22"/>
              </w:rPr>
              <w:t>15.</w:t>
            </w:r>
            <w:r w:rsidR="00A65BED" w:rsidRPr="00A65BED">
              <w:rPr>
                <w:rFonts w:ascii="Arial" w:hAnsi="Arial" w:cs="Arial"/>
                <w:sz w:val="22"/>
                <w:szCs w:val="22"/>
              </w:rPr>
              <w:t>03</w:t>
            </w:r>
            <w:r w:rsidRPr="00A65BED">
              <w:rPr>
                <w:rFonts w:ascii="Arial" w:hAnsi="Arial" w:cs="Arial"/>
                <w:sz w:val="22"/>
                <w:szCs w:val="22"/>
              </w:rPr>
              <w:t>%</w:t>
            </w:r>
          </w:p>
        </w:tc>
        <w:tc>
          <w:tcPr>
            <w:tcW w:w="1251" w:type="dxa"/>
            <w:vAlign w:val="center"/>
          </w:tcPr>
          <w:p w:rsidR="000C1EE0" w:rsidRPr="00A65BED" w:rsidRDefault="000D64DC" w:rsidP="00A65BED">
            <w:pPr>
              <w:tabs>
                <w:tab w:val="right" w:pos="882"/>
              </w:tabs>
              <w:jc w:val="center"/>
              <w:rPr>
                <w:rFonts w:ascii="Arial" w:hAnsi="Arial" w:cs="Arial"/>
                <w:sz w:val="22"/>
                <w:szCs w:val="22"/>
              </w:rPr>
            </w:pPr>
            <w:r w:rsidRPr="00A65BED">
              <w:rPr>
                <w:rFonts w:ascii="Arial" w:hAnsi="Arial" w:cs="Arial"/>
                <w:sz w:val="22"/>
                <w:szCs w:val="22"/>
              </w:rPr>
              <w:t>1</w:t>
            </w:r>
            <w:r w:rsidR="00A65BED" w:rsidRPr="00A65BED">
              <w:rPr>
                <w:rFonts w:ascii="Arial" w:hAnsi="Arial" w:cs="Arial"/>
                <w:sz w:val="22"/>
                <w:szCs w:val="22"/>
              </w:rPr>
              <w:t>7</w:t>
            </w:r>
            <w:r w:rsidRPr="00A65BED">
              <w:rPr>
                <w:rFonts w:ascii="Arial" w:hAnsi="Arial" w:cs="Arial"/>
                <w:sz w:val="22"/>
                <w:szCs w:val="22"/>
              </w:rPr>
              <w:t>.</w:t>
            </w:r>
            <w:r w:rsidR="00A65BED" w:rsidRPr="00A65BED">
              <w:rPr>
                <w:rFonts w:ascii="Arial" w:hAnsi="Arial" w:cs="Arial"/>
                <w:sz w:val="22"/>
                <w:szCs w:val="22"/>
              </w:rPr>
              <w:t>48</w:t>
            </w:r>
            <w:r w:rsidRPr="00A65BED">
              <w:rPr>
                <w:rFonts w:ascii="Arial" w:hAnsi="Arial" w:cs="Arial"/>
                <w:sz w:val="22"/>
                <w:szCs w:val="22"/>
              </w:rPr>
              <w:t>%</w:t>
            </w:r>
          </w:p>
        </w:tc>
        <w:tc>
          <w:tcPr>
            <w:tcW w:w="1251" w:type="dxa"/>
            <w:vAlign w:val="center"/>
          </w:tcPr>
          <w:p w:rsidR="000C1EE0" w:rsidRPr="00A65BED" w:rsidRDefault="000D64DC" w:rsidP="00A65BED">
            <w:pPr>
              <w:tabs>
                <w:tab w:val="right" w:pos="882"/>
              </w:tabs>
              <w:jc w:val="center"/>
              <w:rPr>
                <w:rFonts w:ascii="Arial" w:hAnsi="Arial" w:cs="Arial"/>
                <w:sz w:val="22"/>
                <w:szCs w:val="22"/>
              </w:rPr>
            </w:pPr>
            <w:r w:rsidRPr="00A65BED">
              <w:rPr>
                <w:rFonts w:ascii="Arial" w:hAnsi="Arial" w:cs="Arial"/>
                <w:sz w:val="22"/>
                <w:szCs w:val="22"/>
              </w:rPr>
              <w:t>1</w:t>
            </w:r>
            <w:r w:rsidR="00A65BED" w:rsidRPr="00A65BED">
              <w:rPr>
                <w:rFonts w:ascii="Arial" w:hAnsi="Arial" w:cs="Arial"/>
                <w:sz w:val="22"/>
                <w:szCs w:val="22"/>
              </w:rPr>
              <w:t>6</w:t>
            </w:r>
            <w:r w:rsidRPr="00A65BED">
              <w:rPr>
                <w:rFonts w:ascii="Arial" w:hAnsi="Arial" w:cs="Arial"/>
                <w:sz w:val="22"/>
                <w:szCs w:val="22"/>
              </w:rPr>
              <w:t>.</w:t>
            </w:r>
            <w:r w:rsidR="00A65BED" w:rsidRPr="00A65BED">
              <w:rPr>
                <w:rFonts w:ascii="Arial" w:hAnsi="Arial" w:cs="Arial"/>
                <w:sz w:val="22"/>
                <w:szCs w:val="22"/>
              </w:rPr>
              <w:t>72</w:t>
            </w:r>
            <w:r w:rsidRPr="00A65BED">
              <w:rPr>
                <w:rFonts w:ascii="Arial" w:hAnsi="Arial" w:cs="Arial"/>
                <w:sz w:val="22"/>
                <w:szCs w:val="22"/>
              </w:rPr>
              <w:t>%</w:t>
            </w:r>
          </w:p>
        </w:tc>
        <w:tc>
          <w:tcPr>
            <w:tcW w:w="1251" w:type="dxa"/>
            <w:vAlign w:val="center"/>
          </w:tcPr>
          <w:p w:rsidR="000C1EE0" w:rsidRPr="00A65BED" w:rsidRDefault="000D64DC" w:rsidP="00A65BED">
            <w:pPr>
              <w:tabs>
                <w:tab w:val="right" w:pos="882"/>
              </w:tabs>
              <w:jc w:val="center"/>
              <w:rPr>
                <w:rFonts w:ascii="Arial" w:hAnsi="Arial" w:cs="Arial"/>
                <w:sz w:val="22"/>
                <w:szCs w:val="22"/>
              </w:rPr>
            </w:pPr>
            <w:r w:rsidRPr="00A65BED">
              <w:rPr>
                <w:rFonts w:ascii="Arial" w:hAnsi="Arial" w:cs="Arial"/>
                <w:sz w:val="22"/>
                <w:szCs w:val="22"/>
              </w:rPr>
              <w:t>1</w:t>
            </w:r>
            <w:r w:rsidR="00A65BED" w:rsidRPr="00A65BED">
              <w:rPr>
                <w:rFonts w:ascii="Arial" w:hAnsi="Arial" w:cs="Arial"/>
                <w:sz w:val="22"/>
                <w:szCs w:val="22"/>
              </w:rPr>
              <w:t>8</w:t>
            </w:r>
            <w:r w:rsidRPr="00A65BED">
              <w:rPr>
                <w:rFonts w:ascii="Arial" w:hAnsi="Arial" w:cs="Arial"/>
                <w:sz w:val="22"/>
                <w:szCs w:val="22"/>
              </w:rPr>
              <w:t>.</w:t>
            </w:r>
            <w:r w:rsidR="00A65BED" w:rsidRPr="00A65BED">
              <w:rPr>
                <w:rFonts w:ascii="Arial" w:hAnsi="Arial" w:cs="Arial"/>
                <w:sz w:val="22"/>
                <w:szCs w:val="22"/>
              </w:rPr>
              <w:t>15</w:t>
            </w:r>
            <w:r w:rsidRPr="00A65BED">
              <w:rPr>
                <w:rFonts w:ascii="Arial" w:hAnsi="Arial" w:cs="Arial"/>
                <w:sz w:val="22"/>
                <w:szCs w:val="22"/>
              </w:rPr>
              <w:t>%</w:t>
            </w:r>
          </w:p>
        </w:tc>
      </w:tr>
    </w:tbl>
    <w:p w:rsidR="006B0386" w:rsidRPr="00A65BED" w:rsidRDefault="006B0386" w:rsidP="005804A2">
      <w:pPr>
        <w:ind w:left="1332" w:hanging="720"/>
        <w:jc w:val="both"/>
        <w:rPr>
          <w:rFonts w:ascii="Arial" w:hAnsi="Arial" w:cs="Arial"/>
          <w:sz w:val="22"/>
          <w:szCs w:val="22"/>
        </w:rPr>
      </w:pPr>
    </w:p>
    <w:p w:rsidR="00662BA6" w:rsidRPr="00BC3DA3" w:rsidRDefault="003B257E" w:rsidP="005804A2">
      <w:pPr>
        <w:numPr>
          <w:ilvl w:val="0"/>
          <w:numId w:val="1"/>
        </w:numPr>
        <w:tabs>
          <w:tab w:val="num" w:pos="0"/>
        </w:tabs>
        <w:rPr>
          <w:rFonts w:ascii="Arial" w:hAnsi="Arial" w:cs="Arial"/>
          <w:szCs w:val="24"/>
        </w:rPr>
      </w:pPr>
      <w:r w:rsidRPr="00BC3DA3">
        <w:rPr>
          <w:rFonts w:ascii="Arial" w:hAnsi="Arial" w:cs="Arial"/>
          <w:szCs w:val="24"/>
        </w:rPr>
        <w:t>The estimates of financing costs include current commitments and the proposals in this year</w:t>
      </w:r>
      <w:r w:rsidR="00495BF7" w:rsidRPr="00BC3DA3">
        <w:rPr>
          <w:rFonts w:ascii="Arial" w:hAnsi="Arial" w:cs="Arial"/>
          <w:szCs w:val="24"/>
        </w:rPr>
        <w:t>’</w:t>
      </w:r>
      <w:r w:rsidR="00885826" w:rsidRPr="00BC3DA3">
        <w:rPr>
          <w:rFonts w:ascii="Arial" w:hAnsi="Arial" w:cs="Arial"/>
          <w:szCs w:val="24"/>
        </w:rPr>
        <w:t xml:space="preserve">s MTFP report. </w:t>
      </w:r>
    </w:p>
    <w:p w:rsidR="00301C35" w:rsidRPr="00EE2184" w:rsidRDefault="00301C35" w:rsidP="005804A2">
      <w:pPr>
        <w:ind w:left="454"/>
        <w:rPr>
          <w:rFonts w:ascii="Arial" w:hAnsi="Arial" w:cs="Arial"/>
          <w:szCs w:val="24"/>
          <w:highlight w:val="yellow"/>
        </w:rPr>
      </w:pPr>
    </w:p>
    <w:p w:rsidR="0038255F" w:rsidRPr="002A52A0" w:rsidRDefault="0038255F" w:rsidP="005804A2">
      <w:pPr>
        <w:rPr>
          <w:rFonts w:ascii="Arial" w:hAnsi="Arial" w:cs="Arial"/>
          <w:b/>
          <w:bCs/>
          <w:noProof/>
          <w:szCs w:val="24"/>
        </w:rPr>
      </w:pPr>
      <w:r w:rsidRPr="002A52A0">
        <w:rPr>
          <w:rFonts w:ascii="Arial" w:hAnsi="Arial" w:cs="Arial"/>
          <w:b/>
          <w:bCs/>
          <w:noProof/>
          <w:szCs w:val="24"/>
        </w:rPr>
        <w:t>Treasury Management Strategy</w:t>
      </w:r>
    </w:p>
    <w:p w:rsidR="00AB23E3" w:rsidRPr="0038255F" w:rsidRDefault="00AB23E3" w:rsidP="005804A2">
      <w:pPr>
        <w:rPr>
          <w:rFonts w:ascii="Arial" w:hAnsi="Arial" w:cs="Arial"/>
          <w:b/>
          <w:bCs/>
          <w:noProof/>
          <w:sz w:val="28"/>
          <w:szCs w:val="28"/>
        </w:rPr>
      </w:pPr>
    </w:p>
    <w:p w:rsidR="0038255F" w:rsidRDefault="00251B9C" w:rsidP="005804A2">
      <w:pPr>
        <w:rPr>
          <w:rFonts w:ascii="Arial" w:hAnsi="Arial" w:cs="Arial"/>
          <w:b/>
          <w:bCs/>
          <w:noProof/>
          <w:szCs w:val="24"/>
        </w:rPr>
      </w:pPr>
      <w:r>
        <w:rPr>
          <w:rFonts w:ascii="Arial" w:hAnsi="Arial" w:cs="Arial"/>
          <w:b/>
          <w:bCs/>
          <w:noProof/>
          <w:szCs w:val="24"/>
        </w:rPr>
        <w:t>Borrowing</w:t>
      </w:r>
    </w:p>
    <w:p w:rsidR="00AB23E3" w:rsidRPr="0038255F" w:rsidRDefault="00AB23E3" w:rsidP="005804A2">
      <w:pPr>
        <w:rPr>
          <w:rFonts w:ascii="Arial" w:hAnsi="Arial" w:cs="Arial"/>
          <w:b/>
          <w:bCs/>
          <w:noProof/>
          <w:szCs w:val="24"/>
        </w:rPr>
      </w:pPr>
    </w:p>
    <w:p w:rsidR="0038255F" w:rsidRPr="0038255F" w:rsidRDefault="0038255F" w:rsidP="005804A2">
      <w:pPr>
        <w:numPr>
          <w:ilvl w:val="0"/>
          <w:numId w:val="1"/>
        </w:numPr>
        <w:tabs>
          <w:tab w:val="num" w:pos="0"/>
        </w:tabs>
        <w:rPr>
          <w:rFonts w:ascii="Arial" w:hAnsi="Arial" w:cs="Arial"/>
          <w:noProof/>
          <w:szCs w:val="24"/>
        </w:rPr>
      </w:pPr>
      <w:r w:rsidRPr="0038255F">
        <w:rPr>
          <w:rFonts w:ascii="Arial" w:hAnsi="Arial" w:cs="Arial"/>
          <w:szCs w:val="24"/>
        </w:rPr>
        <w:t>The</w:t>
      </w:r>
      <w:r w:rsidRPr="0038255F">
        <w:rPr>
          <w:rFonts w:ascii="Arial" w:hAnsi="Arial" w:cs="Arial"/>
          <w:noProof/>
          <w:szCs w:val="24"/>
        </w:rPr>
        <w:t xml:space="preserve"> capital expenditure plans set out in the previous paragraphs provide details of the service activity of the Council.  The treasury management function ensures that the Council’s cash is organised in accordance with the the relevant professional codes, so that sufficient cash is available to meet this service activity</w:t>
      </w:r>
      <w:r w:rsidR="000A0ED6">
        <w:rPr>
          <w:rFonts w:ascii="Arial" w:hAnsi="Arial" w:cs="Arial"/>
          <w:noProof/>
          <w:szCs w:val="24"/>
        </w:rPr>
        <w:t xml:space="preserve"> and the Council’s capital strategy</w:t>
      </w:r>
      <w:r w:rsidRPr="0038255F">
        <w:rPr>
          <w:rFonts w:ascii="Arial" w:hAnsi="Arial" w:cs="Arial"/>
          <w:noProof/>
          <w:szCs w:val="24"/>
        </w:rPr>
        <w:t>.  This will involve both the organisation of the cash flow and, where capital plans require, the organisation of approporiate borrowing facilities.  The strategy covers the relevant treasury / prudential indicators, the current and projected debt positions and the annual investment strategy.</w:t>
      </w:r>
    </w:p>
    <w:p w:rsidR="005F20D2" w:rsidRDefault="005F20D2" w:rsidP="005804A2">
      <w:pPr>
        <w:ind w:left="1305"/>
        <w:rPr>
          <w:rFonts w:ascii="Arial" w:hAnsi="Arial" w:cs="Arial"/>
          <w:bCs/>
          <w:noProof/>
          <w:szCs w:val="24"/>
        </w:rPr>
      </w:pPr>
    </w:p>
    <w:p w:rsidR="005F20D2" w:rsidRDefault="005F20D2" w:rsidP="005804A2">
      <w:pPr>
        <w:tabs>
          <w:tab w:val="left" w:pos="4678"/>
          <w:tab w:val="left" w:pos="4820"/>
        </w:tabs>
        <w:rPr>
          <w:rFonts w:ascii="Arial" w:hAnsi="Arial" w:cs="Arial"/>
          <w:b/>
          <w:bCs/>
          <w:noProof/>
          <w:szCs w:val="24"/>
        </w:rPr>
      </w:pPr>
      <w:r w:rsidRPr="005F20D2">
        <w:rPr>
          <w:rFonts w:ascii="Arial" w:hAnsi="Arial" w:cs="Arial"/>
          <w:b/>
          <w:bCs/>
          <w:noProof/>
          <w:szCs w:val="24"/>
        </w:rPr>
        <w:t>Under Borrowing position</w:t>
      </w:r>
    </w:p>
    <w:p w:rsidR="005F20D2" w:rsidRDefault="005F20D2" w:rsidP="005804A2">
      <w:pPr>
        <w:tabs>
          <w:tab w:val="left" w:pos="4678"/>
          <w:tab w:val="left" w:pos="4820"/>
        </w:tabs>
        <w:rPr>
          <w:rFonts w:ascii="Arial" w:hAnsi="Arial" w:cs="Arial"/>
          <w:b/>
          <w:bCs/>
          <w:noProof/>
          <w:szCs w:val="24"/>
        </w:rPr>
      </w:pPr>
    </w:p>
    <w:p w:rsidR="00972475" w:rsidRPr="009B2DEA" w:rsidRDefault="00E54A8B" w:rsidP="009B2DEA">
      <w:pPr>
        <w:numPr>
          <w:ilvl w:val="0"/>
          <w:numId w:val="1"/>
        </w:numPr>
        <w:rPr>
          <w:rFonts w:ascii="Arial" w:hAnsi="Arial" w:cs="Arial"/>
          <w:b/>
          <w:bCs/>
          <w:noProof/>
          <w:szCs w:val="24"/>
        </w:rPr>
      </w:pPr>
      <w:r w:rsidRPr="009B2DEA">
        <w:rPr>
          <w:rFonts w:ascii="Arial" w:hAnsi="Arial" w:cs="Arial"/>
          <w:bCs/>
          <w:noProof/>
          <w:szCs w:val="24"/>
        </w:rPr>
        <w:t>Over the last ten years the Council ha</w:t>
      </w:r>
      <w:r w:rsidR="003E4BD4" w:rsidRPr="009B2DEA">
        <w:rPr>
          <w:rFonts w:ascii="Arial" w:hAnsi="Arial" w:cs="Arial"/>
          <w:bCs/>
          <w:noProof/>
          <w:szCs w:val="24"/>
        </w:rPr>
        <w:t>d</w:t>
      </w:r>
      <w:r w:rsidRPr="009B2DEA">
        <w:rPr>
          <w:rFonts w:ascii="Arial" w:hAnsi="Arial" w:cs="Arial"/>
          <w:bCs/>
          <w:noProof/>
          <w:szCs w:val="24"/>
        </w:rPr>
        <w:t xml:space="preserve"> maintained an underborrowed position i.e. the amount of our gross external borrowing has been less than our balance sheet Capital Financing Requirement. This strategy has served </w:t>
      </w:r>
      <w:r w:rsidR="00D81121" w:rsidRPr="009B2DEA">
        <w:rPr>
          <w:rFonts w:ascii="Arial" w:hAnsi="Arial" w:cs="Arial"/>
          <w:bCs/>
          <w:noProof/>
          <w:szCs w:val="24"/>
        </w:rPr>
        <w:t>the Council</w:t>
      </w:r>
      <w:r w:rsidRPr="009B2DEA">
        <w:rPr>
          <w:rFonts w:ascii="Arial" w:hAnsi="Arial" w:cs="Arial"/>
          <w:bCs/>
          <w:noProof/>
          <w:szCs w:val="24"/>
        </w:rPr>
        <w:t xml:space="preserve"> well in a period where returns on investment</w:t>
      </w:r>
      <w:r w:rsidR="00096D63" w:rsidRPr="009B2DEA">
        <w:rPr>
          <w:rFonts w:ascii="Arial" w:hAnsi="Arial" w:cs="Arial"/>
          <w:bCs/>
          <w:noProof/>
          <w:szCs w:val="24"/>
        </w:rPr>
        <w:t xml:space="preserve"> have been low and borrowing costs have been relatively high. This has also meant that we have had less in the form of investments and so reduced counterparty risk. </w:t>
      </w:r>
      <w:r w:rsidR="003E4BD4" w:rsidRPr="009B2DEA">
        <w:rPr>
          <w:rFonts w:ascii="Arial" w:hAnsi="Arial" w:cs="Arial"/>
          <w:bCs/>
          <w:noProof/>
          <w:szCs w:val="24"/>
        </w:rPr>
        <w:t>To support the MTFP for 2017/18 and onwards it was agreed that longer term investments would be pursued. These would give a return over and above the cost of any</w:t>
      </w:r>
      <w:r w:rsidR="004611D8" w:rsidRPr="009B2DEA">
        <w:rPr>
          <w:rFonts w:ascii="Arial" w:hAnsi="Arial" w:cs="Arial"/>
          <w:bCs/>
          <w:noProof/>
          <w:szCs w:val="24"/>
        </w:rPr>
        <w:t xml:space="preserve"> additional borrowing that would be taken.  Following due diligence the Council has now invested in 3 Property </w:t>
      </w:r>
      <w:r w:rsidR="00A02E2E">
        <w:rPr>
          <w:rFonts w:ascii="Arial" w:hAnsi="Arial" w:cs="Arial"/>
          <w:bCs/>
          <w:noProof/>
          <w:szCs w:val="24"/>
        </w:rPr>
        <w:t>F</w:t>
      </w:r>
      <w:r w:rsidR="004611D8" w:rsidRPr="009B2DEA">
        <w:rPr>
          <w:rFonts w:ascii="Arial" w:hAnsi="Arial" w:cs="Arial"/>
          <w:bCs/>
          <w:noProof/>
          <w:szCs w:val="24"/>
        </w:rPr>
        <w:t>unds, £10 million in each fund and these are expected to bring a net</w:t>
      </w:r>
      <w:r w:rsidR="003E4BD4" w:rsidRPr="009B2DEA">
        <w:rPr>
          <w:rFonts w:ascii="Arial" w:hAnsi="Arial" w:cs="Arial"/>
          <w:bCs/>
          <w:noProof/>
          <w:szCs w:val="24"/>
        </w:rPr>
        <w:t xml:space="preserve"> </w:t>
      </w:r>
      <w:r w:rsidR="004611D8" w:rsidRPr="009B2DEA">
        <w:rPr>
          <w:rFonts w:ascii="Arial" w:hAnsi="Arial" w:cs="Arial"/>
          <w:bCs/>
          <w:noProof/>
          <w:szCs w:val="24"/>
        </w:rPr>
        <w:t>return of around 2.5% over the life of the MTFP. Additional borrowing of £25</w:t>
      </w:r>
      <w:r w:rsidR="00A02E2E">
        <w:rPr>
          <w:rFonts w:ascii="Arial" w:hAnsi="Arial" w:cs="Arial"/>
          <w:bCs/>
          <w:noProof/>
          <w:szCs w:val="24"/>
        </w:rPr>
        <w:t>m</w:t>
      </w:r>
      <w:r w:rsidR="004611D8" w:rsidRPr="009B2DEA">
        <w:rPr>
          <w:rFonts w:ascii="Arial" w:hAnsi="Arial" w:cs="Arial"/>
          <w:bCs/>
          <w:noProof/>
          <w:szCs w:val="24"/>
        </w:rPr>
        <w:t xml:space="preserve"> has been </w:t>
      </w:r>
      <w:r w:rsidR="00FA38D9">
        <w:rPr>
          <w:rFonts w:ascii="Arial" w:hAnsi="Arial" w:cs="Arial"/>
          <w:bCs/>
          <w:noProof/>
          <w:szCs w:val="24"/>
        </w:rPr>
        <w:t>undertaken which has resulted in the underborrowed position</w:t>
      </w:r>
      <w:r w:rsidR="00885826">
        <w:rPr>
          <w:rFonts w:ascii="Arial" w:hAnsi="Arial" w:cs="Arial"/>
          <w:bCs/>
          <w:noProof/>
          <w:szCs w:val="24"/>
        </w:rPr>
        <w:t xml:space="preserve"> be</w:t>
      </w:r>
      <w:r w:rsidR="00FA38D9">
        <w:rPr>
          <w:rFonts w:ascii="Arial" w:hAnsi="Arial" w:cs="Arial"/>
          <w:bCs/>
          <w:noProof/>
          <w:szCs w:val="24"/>
        </w:rPr>
        <w:t>ing</w:t>
      </w:r>
      <w:r w:rsidR="00885826">
        <w:rPr>
          <w:rFonts w:ascii="Arial" w:hAnsi="Arial" w:cs="Arial"/>
          <w:bCs/>
          <w:noProof/>
          <w:szCs w:val="24"/>
        </w:rPr>
        <w:t xml:space="preserve"> reduced.</w:t>
      </w:r>
      <w:r w:rsidR="009B2DEA" w:rsidRPr="009B2DEA">
        <w:rPr>
          <w:rFonts w:ascii="Arial" w:hAnsi="Arial" w:cs="Arial"/>
          <w:bCs/>
          <w:noProof/>
          <w:szCs w:val="24"/>
        </w:rPr>
        <w:t xml:space="preserve">                   </w:t>
      </w:r>
    </w:p>
    <w:p w:rsidR="00B85AFA" w:rsidRPr="005804A2" w:rsidRDefault="00B85AFA" w:rsidP="005804A2">
      <w:pPr>
        <w:pStyle w:val="ListParagraph"/>
        <w:rPr>
          <w:rFonts w:ascii="Arial" w:hAnsi="Arial" w:cs="Arial"/>
          <w:b/>
          <w:bCs/>
          <w:noProof/>
          <w:sz w:val="24"/>
          <w:szCs w:val="24"/>
        </w:rPr>
      </w:pPr>
    </w:p>
    <w:p w:rsidR="00B85AFA" w:rsidRDefault="00B85AFA" w:rsidP="005804A2">
      <w:pPr>
        <w:numPr>
          <w:ilvl w:val="12"/>
          <w:numId w:val="0"/>
        </w:numPr>
        <w:rPr>
          <w:rFonts w:ascii="Arial" w:hAnsi="Arial" w:cs="Arial"/>
          <w:b/>
          <w:bCs/>
          <w:noProof/>
          <w:szCs w:val="36"/>
        </w:rPr>
      </w:pPr>
      <w:r w:rsidRPr="0038255F">
        <w:rPr>
          <w:rFonts w:ascii="Arial" w:hAnsi="Arial" w:cs="Arial"/>
          <w:b/>
          <w:bCs/>
          <w:noProof/>
          <w:szCs w:val="36"/>
        </w:rPr>
        <w:t>Current Portfolio Position</w:t>
      </w:r>
    </w:p>
    <w:p w:rsidR="00956E51" w:rsidRPr="0038255F" w:rsidRDefault="00956E51" w:rsidP="005804A2">
      <w:pPr>
        <w:numPr>
          <w:ilvl w:val="12"/>
          <w:numId w:val="0"/>
        </w:numPr>
        <w:rPr>
          <w:rFonts w:ascii="Arial" w:hAnsi="Arial" w:cs="Arial"/>
          <w:b/>
          <w:bCs/>
          <w:noProof/>
          <w:szCs w:val="36"/>
        </w:rPr>
      </w:pPr>
    </w:p>
    <w:p w:rsidR="00B85AFA" w:rsidRDefault="00B85AFA" w:rsidP="005804A2">
      <w:pPr>
        <w:numPr>
          <w:ilvl w:val="0"/>
          <w:numId w:val="1"/>
        </w:numPr>
        <w:rPr>
          <w:rFonts w:ascii="Arial" w:hAnsi="Arial" w:cs="Arial"/>
          <w:bCs/>
          <w:noProof/>
          <w:szCs w:val="24"/>
        </w:rPr>
      </w:pPr>
      <w:r w:rsidRPr="0038255F">
        <w:rPr>
          <w:rFonts w:ascii="Arial" w:hAnsi="Arial" w:cs="Arial"/>
          <w:bCs/>
          <w:noProof/>
          <w:szCs w:val="24"/>
        </w:rPr>
        <w:t xml:space="preserve">The Council’s </w:t>
      </w:r>
      <w:r w:rsidR="00A96145">
        <w:rPr>
          <w:rFonts w:ascii="Arial" w:hAnsi="Arial" w:cs="Arial"/>
          <w:bCs/>
          <w:noProof/>
          <w:szCs w:val="24"/>
        </w:rPr>
        <w:t xml:space="preserve">expected </w:t>
      </w:r>
      <w:r w:rsidRPr="0038255F">
        <w:rPr>
          <w:rFonts w:ascii="Arial" w:hAnsi="Arial" w:cs="Arial"/>
          <w:bCs/>
          <w:noProof/>
          <w:szCs w:val="24"/>
        </w:rPr>
        <w:t>treasury portfolio position at 31 March 201</w:t>
      </w:r>
      <w:r w:rsidR="0012480E">
        <w:rPr>
          <w:rFonts w:ascii="Arial" w:hAnsi="Arial" w:cs="Arial"/>
          <w:bCs/>
          <w:noProof/>
          <w:szCs w:val="24"/>
        </w:rPr>
        <w:t>9</w:t>
      </w:r>
      <w:r w:rsidRPr="0038255F">
        <w:rPr>
          <w:rFonts w:ascii="Arial" w:hAnsi="Arial" w:cs="Arial"/>
          <w:bCs/>
          <w:noProof/>
          <w:szCs w:val="24"/>
        </w:rPr>
        <w:t>, with forward projections are summarised below</w:t>
      </w:r>
      <w:r>
        <w:rPr>
          <w:rFonts w:ascii="Arial" w:hAnsi="Arial" w:cs="Arial"/>
          <w:bCs/>
          <w:noProof/>
          <w:szCs w:val="24"/>
        </w:rPr>
        <w:t xml:space="preserve"> at Table </w:t>
      </w:r>
      <w:r w:rsidR="00BC3DA3">
        <w:rPr>
          <w:rFonts w:ascii="Arial" w:hAnsi="Arial" w:cs="Arial"/>
          <w:bCs/>
          <w:noProof/>
          <w:szCs w:val="24"/>
        </w:rPr>
        <w:t>7</w:t>
      </w:r>
      <w:r w:rsidRPr="0038255F">
        <w:rPr>
          <w:rFonts w:ascii="Arial" w:hAnsi="Arial" w:cs="Arial"/>
          <w:bCs/>
          <w:noProof/>
          <w:szCs w:val="24"/>
        </w:rPr>
        <w:t xml:space="preserve">. The table shows the actual external debt (the treasury management operations), against the underlying capital borrowing need (the Capital Financing Requirement - CFR), highlighting any over or under borrowing. </w:t>
      </w:r>
    </w:p>
    <w:p w:rsidR="003B257E" w:rsidRDefault="003B257E" w:rsidP="005804A2">
      <w:pPr>
        <w:rPr>
          <w:rFonts w:ascii="Arial" w:hAnsi="Arial" w:cs="Arial"/>
          <w:szCs w:val="22"/>
        </w:rPr>
      </w:pPr>
    </w:p>
    <w:p w:rsidR="005E2D73" w:rsidRDefault="005E2D73" w:rsidP="005804A2">
      <w:pPr>
        <w:rPr>
          <w:rFonts w:ascii="Arial" w:hAnsi="Arial" w:cs="Arial"/>
          <w:b/>
          <w:noProof/>
          <w:szCs w:val="22"/>
        </w:rPr>
      </w:pPr>
    </w:p>
    <w:p w:rsidR="005E2D73" w:rsidRDefault="005E2D73" w:rsidP="005804A2">
      <w:pPr>
        <w:rPr>
          <w:rFonts w:ascii="Arial" w:hAnsi="Arial" w:cs="Arial"/>
          <w:b/>
          <w:noProof/>
          <w:szCs w:val="22"/>
        </w:rPr>
      </w:pPr>
    </w:p>
    <w:p w:rsidR="0038255F" w:rsidRPr="005804A2" w:rsidRDefault="007B6896" w:rsidP="005804A2">
      <w:pPr>
        <w:rPr>
          <w:rFonts w:ascii="Arial" w:hAnsi="Arial" w:cs="Arial"/>
          <w:b/>
          <w:noProof/>
          <w:szCs w:val="22"/>
        </w:rPr>
      </w:pPr>
      <w:r w:rsidRPr="005804A2">
        <w:rPr>
          <w:rFonts w:ascii="Arial" w:hAnsi="Arial" w:cs="Arial"/>
          <w:b/>
          <w:noProof/>
          <w:szCs w:val="22"/>
        </w:rPr>
        <w:lastRenderedPageBreak/>
        <w:t xml:space="preserve">Table </w:t>
      </w:r>
      <w:r w:rsidR="00BC3DA3">
        <w:rPr>
          <w:rFonts w:ascii="Arial" w:hAnsi="Arial" w:cs="Arial"/>
          <w:b/>
          <w:noProof/>
          <w:szCs w:val="22"/>
        </w:rPr>
        <w:t>7</w:t>
      </w:r>
      <w:r w:rsidR="0038255F" w:rsidRPr="005804A2">
        <w:rPr>
          <w:rFonts w:ascii="Arial" w:hAnsi="Arial" w:cs="Arial"/>
          <w:b/>
          <w:noProof/>
          <w:szCs w:val="22"/>
        </w:rPr>
        <w:t xml:space="preserve"> - </w:t>
      </w:r>
      <w:r w:rsidR="002D4E8C" w:rsidRPr="005804A2">
        <w:rPr>
          <w:rFonts w:ascii="Arial" w:hAnsi="Arial" w:cs="Arial"/>
          <w:b/>
          <w:noProof/>
          <w:szCs w:val="22"/>
        </w:rPr>
        <w:t>Gross</w:t>
      </w:r>
      <w:r w:rsidR="0038255F" w:rsidRPr="005804A2">
        <w:rPr>
          <w:rFonts w:ascii="Arial" w:hAnsi="Arial" w:cs="Arial"/>
          <w:b/>
          <w:noProof/>
          <w:szCs w:val="22"/>
        </w:rPr>
        <w:t xml:space="preserve"> Borrowing to CFR</w:t>
      </w:r>
    </w:p>
    <w:p w:rsidR="00D465D6" w:rsidRPr="0038255F" w:rsidRDefault="00D465D6" w:rsidP="005804A2">
      <w:pPr>
        <w:rPr>
          <w:rFonts w:ascii="Arial" w:hAnsi="Arial" w:cs="Arial"/>
          <w:b/>
          <w:noProof/>
          <w:sz w:val="22"/>
          <w:szCs w:val="22"/>
        </w:rPr>
      </w:pPr>
    </w:p>
    <w:tbl>
      <w:tblPr>
        <w:tblW w:w="827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4"/>
        <w:gridCol w:w="1276"/>
        <w:gridCol w:w="1276"/>
        <w:gridCol w:w="1276"/>
        <w:gridCol w:w="1200"/>
      </w:tblGrid>
      <w:tr w:rsidR="000C1EE0" w:rsidRPr="000C552B" w:rsidTr="0077594B">
        <w:tc>
          <w:tcPr>
            <w:tcW w:w="3244" w:type="dxa"/>
            <w:shd w:val="clear" w:color="auto" w:fill="D9D9D9"/>
          </w:tcPr>
          <w:p w:rsidR="000C1EE0" w:rsidRPr="000C552B" w:rsidRDefault="000C1EE0" w:rsidP="005804A2">
            <w:pPr>
              <w:pStyle w:val="BodyText"/>
              <w:spacing w:after="0"/>
              <w:rPr>
                <w:rFonts w:ascii="Arial" w:hAnsi="Arial" w:cs="Arial"/>
                <w:sz w:val="22"/>
                <w:szCs w:val="22"/>
              </w:rPr>
            </w:pPr>
          </w:p>
        </w:tc>
        <w:tc>
          <w:tcPr>
            <w:tcW w:w="1276" w:type="dxa"/>
            <w:shd w:val="clear" w:color="auto" w:fill="D9D9D9"/>
          </w:tcPr>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201</w:t>
            </w:r>
            <w:r w:rsidR="0012480E">
              <w:rPr>
                <w:rFonts w:ascii="Arial" w:hAnsi="Arial" w:cs="Arial"/>
                <w:b/>
                <w:bCs/>
                <w:sz w:val="22"/>
                <w:szCs w:val="22"/>
              </w:rPr>
              <w:t>8</w:t>
            </w:r>
            <w:r>
              <w:rPr>
                <w:rFonts w:ascii="Arial" w:hAnsi="Arial" w:cs="Arial"/>
                <w:b/>
                <w:bCs/>
                <w:sz w:val="22"/>
                <w:szCs w:val="22"/>
              </w:rPr>
              <w:t>/1</w:t>
            </w:r>
            <w:r w:rsidR="0012480E">
              <w:rPr>
                <w:rFonts w:ascii="Arial" w:hAnsi="Arial" w:cs="Arial"/>
                <w:b/>
                <w:bCs/>
                <w:sz w:val="22"/>
                <w:szCs w:val="22"/>
              </w:rPr>
              <w:t>9</w:t>
            </w:r>
          </w:p>
          <w:p w:rsidR="00F45AC7" w:rsidRDefault="00F45AC7" w:rsidP="000C1EE0">
            <w:pPr>
              <w:pStyle w:val="BodyText"/>
              <w:spacing w:after="0"/>
              <w:jc w:val="center"/>
              <w:rPr>
                <w:rFonts w:ascii="Arial" w:hAnsi="Arial" w:cs="Arial"/>
                <w:b/>
                <w:bCs/>
                <w:sz w:val="22"/>
                <w:szCs w:val="22"/>
              </w:rPr>
            </w:pPr>
            <w:r>
              <w:rPr>
                <w:rFonts w:ascii="Arial" w:hAnsi="Arial" w:cs="Arial"/>
                <w:b/>
                <w:bCs/>
                <w:sz w:val="22"/>
                <w:szCs w:val="22"/>
              </w:rPr>
              <w:t>Revised</w:t>
            </w:r>
          </w:p>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 xml:space="preserve"> £</w:t>
            </w:r>
            <w:r w:rsidR="0012480E">
              <w:rPr>
                <w:rFonts w:ascii="Arial" w:hAnsi="Arial" w:cs="Arial"/>
                <w:b/>
                <w:bCs/>
                <w:sz w:val="22"/>
                <w:szCs w:val="22"/>
              </w:rPr>
              <w:t>m</w:t>
            </w:r>
          </w:p>
        </w:tc>
        <w:tc>
          <w:tcPr>
            <w:tcW w:w="1276" w:type="dxa"/>
            <w:shd w:val="clear" w:color="auto" w:fill="D9D9D9"/>
          </w:tcPr>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201</w:t>
            </w:r>
            <w:r w:rsidR="0012480E">
              <w:rPr>
                <w:rFonts w:ascii="Arial" w:hAnsi="Arial" w:cs="Arial"/>
                <w:b/>
                <w:bCs/>
                <w:sz w:val="22"/>
                <w:szCs w:val="22"/>
              </w:rPr>
              <w:t>9</w:t>
            </w:r>
            <w:r>
              <w:rPr>
                <w:rFonts w:ascii="Arial" w:hAnsi="Arial" w:cs="Arial"/>
                <w:b/>
                <w:bCs/>
                <w:sz w:val="22"/>
                <w:szCs w:val="22"/>
              </w:rPr>
              <w:t>/</w:t>
            </w:r>
            <w:r w:rsidR="0012480E">
              <w:rPr>
                <w:rFonts w:ascii="Arial" w:hAnsi="Arial" w:cs="Arial"/>
                <w:b/>
                <w:bCs/>
                <w:sz w:val="22"/>
                <w:szCs w:val="22"/>
              </w:rPr>
              <w:t>20</w:t>
            </w:r>
          </w:p>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Estimate £</w:t>
            </w:r>
            <w:r w:rsidR="0012480E">
              <w:rPr>
                <w:rFonts w:ascii="Arial" w:hAnsi="Arial" w:cs="Arial"/>
                <w:b/>
                <w:bCs/>
                <w:sz w:val="22"/>
                <w:szCs w:val="22"/>
              </w:rPr>
              <w:t>m</w:t>
            </w:r>
          </w:p>
        </w:tc>
        <w:tc>
          <w:tcPr>
            <w:tcW w:w="1276" w:type="dxa"/>
            <w:shd w:val="clear" w:color="auto" w:fill="D9D9D9"/>
          </w:tcPr>
          <w:p w:rsidR="000C1EE0" w:rsidRDefault="000C1EE0" w:rsidP="000C1EE0">
            <w:pPr>
              <w:pStyle w:val="BodyText"/>
              <w:spacing w:after="0"/>
              <w:jc w:val="center"/>
              <w:rPr>
                <w:rFonts w:ascii="Arial" w:hAnsi="Arial" w:cs="Arial"/>
                <w:b/>
                <w:bCs/>
                <w:sz w:val="22"/>
                <w:szCs w:val="22"/>
              </w:rPr>
            </w:pPr>
            <w:r>
              <w:rPr>
                <w:rFonts w:ascii="Arial" w:hAnsi="Arial" w:cs="Arial"/>
                <w:b/>
                <w:bCs/>
                <w:sz w:val="22"/>
                <w:szCs w:val="22"/>
              </w:rPr>
              <w:t>20</w:t>
            </w:r>
            <w:r w:rsidR="0012480E">
              <w:rPr>
                <w:rFonts w:ascii="Arial" w:hAnsi="Arial" w:cs="Arial"/>
                <w:b/>
                <w:bCs/>
                <w:sz w:val="22"/>
                <w:szCs w:val="22"/>
              </w:rPr>
              <w:t>20</w:t>
            </w:r>
            <w:r>
              <w:rPr>
                <w:rFonts w:ascii="Arial" w:hAnsi="Arial" w:cs="Arial"/>
                <w:b/>
                <w:bCs/>
                <w:sz w:val="22"/>
                <w:szCs w:val="22"/>
              </w:rPr>
              <w:t>/2</w:t>
            </w:r>
            <w:r w:rsidR="0012480E">
              <w:rPr>
                <w:rFonts w:ascii="Arial" w:hAnsi="Arial" w:cs="Arial"/>
                <w:b/>
                <w:bCs/>
                <w:sz w:val="22"/>
                <w:szCs w:val="22"/>
              </w:rPr>
              <w:t>1</w:t>
            </w:r>
          </w:p>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Estimate £</w:t>
            </w:r>
            <w:r w:rsidR="0012480E">
              <w:rPr>
                <w:rFonts w:ascii="Arial" w:hAnsi="Arial" w:cs="Arial"/>
                <w:b/>
                <w:bCs/>
                <w:sz w:val="22"/>
                <w:szCs w:val="22"/>
              </w:rPr>
              <w:t>m</w:t>
            </w:r>
          </w:p>
        </w:tc>
        <w:tc>
          <w:tcPr>
            <w:tcW w:w="1200" w:type="dxa"/>
            <w:shd w:val="clear" w:color="auto" w:fill="D9D9D9"/>
          </w:tcPr>
          <w:p w:rsidR="00F45AC7" w:rsidRPr="00330F7B" w:rsidRDefault="00F45AC7" w:rsidP="00F45AC7">
            <w:pPr>
              <w:pStyle w:val="BodyText"/>
              <w:spacing w:after="0"/>
              <w:jc w:val="center"/>
              <w:rPr>
                <w:rFonts w:ascii="Arial" w:hAnsi="Arial" w:cs="Arial"/>
                <w:b/>
                <w:bCs/>
                <w:sz w:val="22"/>
                <w:szCs w:val="22"/>
              </w:rPr>
            </w:pPr>
            <w:r>
              <w:rPr>
                <w:rFonts w:ascii="Arial" w:hAnsi="Arial" w:cs="Arial"/>
                <w:b/>
                <w:bCs/>
                <w:sz w:val="22"/>
                <w:szCs w:val="22"/>
              </w:rPr>
              <w:t>202</w:t>
            </w:r>
            <w:r w:rsidR="0012480E">
              <w:rPr>
                <w:rFonts w:ascii="Arial" w:hAnsi="Arial" w:cs="Arial"/>
                <w:b/>
                <w:bCs/>
                <w:sz w:val="22"/>
                <w:szCs w:val="22"/>
              </w:rPr>
              <w:t>1</w:t>
            </w:r>
            <w:r>
              <w:rPr>
                <w:rFonts w:ascii="Arial" w:hAnsi="Arial" w:cs="Arial"/>
                <w:b/>
                <w:bCs/>
                <w:sz w:val="22"/>
                <w:szCs w:val="22"/>
              </w:rPr>
              <w:t>/2</w:t>
            </w:r>
            <w:r w:rsidR="0012480E">
              <w:rPr>
                <w:rFonts w:ascii="Arial" w:hAnsi="Arial" w:cs="Arial"/>
                <w:b/>
                <w:bCs/>
                <w:sz w:val="22"/>
                <w:szCs w:val="22"/>
              </w:rPr>
              <w:t>2</w:t>
            </w:r>
          </w:p>
          <w:p w:rsidR="000C1EE0" w:rsidRPr="00330F7B" w:rsidRDefault="0012480E" w:rsidP="0012480E">
            <w:pPr>
              <w:pStyle w:val="BodyText"/>
              <w:spacing w:after="0"/>
              <w:jc w:val="center"/>
              <w:rPr>
                <w:rFonts w:ascii="Arial" w:hAnsi="Arial" w:cs="Arial"/>
                <w:b/>
                <w:bCs/>
                <w:sz w:val="22"/>
                <w:szCs w:val="22"/>
              </w:rPr>
            </w:pPr>
            <w:r>
              <w:rPr>
                <w:rFonts w:ascii="Arial" w:hAnsi="Arial" w:cs="Arial"/>
                <w:b/>
                <w:bCs/>
                <w:sz w:val="22"/>
                <w:szCs w:val="22"/>
              </w:rPr>
              <w:t>Estimate £m</w:t>
            </w:r>
          </w:p>
        </w:tc>
      </w:tr>
      <w:tr w:rsidR="000C1EE0" w:rsidRPr="000C552B" w:rsidTr="0077594B">
        <w:trPr>
          <w:trHeight w:val="390"/>
        </w:trPr>
        <w:tc>
          <w:tcPr>
            <w:tcW w:w="3244" w:type="dxa"/>
            <w:shd w:val="clear" w:color="auto" w:fill="auto"/>
            <w:vAlign w:val="center"/>
          </w:tcPr>
          <w:p w:rsidR="000C1EE0" w:rsidRPr="000C552B" w:rsidRDefault="000C1EE0" w:rsidP="005804A2">
            <w:pPr>
              <w:rPr>
                <w:rFonts w:ascii="Arial" w:hAnsi="Arial" w:cs="Arial"/>
                <w:sz w:val="22"/>
                <w:szCs w:val="22"/>
              </w:rPr>
            </w:pPr>
            <w:r w:rsidRPr="000C552B">
              <w:rPr>
                <w:rFonts w:ascii="Arial" w:hAnsi="Arial" w:cs="Arial"/>
                <w:sz w:val="22"/>
                <w:szCs w:val="22"/>
              </w:rPr>
              <w:t>Debt at 31 March</w:t>
            </w:r>
          </w:p>
        </w:tc>
        <w:tc>
          <w:tcPr>
            <w:tcW w:w="1276" w:type="dxa"/>
            <w:shd w:val="clear" w:color="auto" w:fill="auto"/>
            <w:vAlign w:val="center"/>
          </w:tcPr>
          <w:p w:rsidR="000C1EE0" w:rsidRPr="00541532" w:rsidRDefault="00A912DD" w:rsidP="0035176B">
            <w:pPr>
              <w:pStyle w:val="BodyText"/>
              <w:spacing w:after="0"/>
              <w:jc w:val="right"/>
              <w:rPr>
                <w:rFonts w:ascii="Arial" w:hAnsi="Arial" w:cs="Arial"/>
                <w:sz w:val="22"/>
                <w:szCs w:val="22"/>
              </w:rPr>
            </w:pPr>
            <w:r w:rsidRPr="00541532">
              <w:rPr>
                <w:rFonts w:ascii="Arial" w:hAnsi="Arial" w:cs="Arial"/>
                <w:sz w:val="22"/>
                <w:szCs w:val="22"/>
              </w:rPr>
              <w:t>1</w:t>
            </w:r>
            <w:r w:rsidR="0035176B">
              <w:rPr>
                <w:rFonts w:ascii="Arial" w:hAnsi="Arial" w:cs="Arial"/>
                <w:sz w:val="22"/>
                <w:szCs w:val="22"/>
              </w:rPr>
              <w:t>83</w:t>
            </w:r>
            <w:r w:rsidRPr="00541532">
              <w:rPr>
                <w:rFonts w:ascii="Arial" w:hAnsi="Arial" w:cs="Arial"/>
                <w:sz w:val="22"/>
                <w:szCs w:val="22"/>
              </w:rPr>
              <w:t>.000</w:t>
            </w:r>
          </w:p>
        </w:tc>
        <w:tc>
          <w:tcPr>
            <w:tcW w:w="1276" w:type="dxa"/>
            <w:shd w:val="clear" w:color="auto" w:fill="auto"/>
            <w:vAlign w:val="center"/>
          </w:tcPr>
          <w:p w:rsidR="000C1EE0" w:rsidRPr="00541532" w:rsidRDefault="005E6446" w:rsidP="0035176B">
            <w:pPr>
              <w:pStyle w:val="BodyText"/>
              <w:spacing w:after="0"/>
              <w:jc w:val="right"/>
              <w:rPr>
                <w:rFonts w:ascii="Arial" w:hAnsi="Arial" w:cs="Arial"/>
                <w:sz w:val="22"/>
                <w:szCs w:val="22"/>
              </w:rPr>
            </w:pPr>
            <w:r w:rsidRPr="00541532">
              <w:rPr>
                <w:rFonts w:ascii="Arial" w:hAnsi="Arial" w:cs="Arial"/>
                <w:sz w:val="22"/>
                <w:szCs w:val="22"/>
              </w:rPr>
              <w:t>1</w:t>
            </w:r>
            <w:r w:rsidR="0035176B">
              <w:rPr>
                <w:rFonts w:ascii="Arial" w:hAnsi="Arial" w:cs="Arial"/>
                <w:sz w:val="22"/>
                <w:szCs w:val="22"/>
              </w:rPr>
              <w:t>88</w:t>
            </w:r>
            <w:r w:rsidRPr="00541532">
              <w:rPr>
                <w:rFonts w:ascii="Arial" w:hAnsi="Arial" w:cs="Arial"/>
                <w:sz w:val="22"/>
                <w:szCs w:val="22"/>
              </w:rPr>
              <w:t>.000</w:t>
            </w:r>
          </w:p>
        </w:tc>
        <w:tc>
          <w:tcPr>
            <w:tcW w:w="1276" w:type="dxa"/>
            <w:shd w:val="clear" w:color="auto" w:fill="auto"/>
            <w:vAlign w:val="center"/>
          </w:tcPr>
          <w:p w:rsidR="000C1EE0" w:rsidRPr="00541532" w:rsidRDefault="005E6446" w:rsidP="0035176B">
            <w:pPr>
              <w:pStyle w:val="BodyText"/>
              <w:spacing w:after="0"/>
              <w:jc w:val="right"/>
              <w:rPr>
                <w:rFonts w:ascii="Arial" w:hAnsi="Arial" w:cs="Arial"/>
                <w:sz w:val="22"/>
                <w:szCs w:val="22"/>
              </w:rPr>
            </w:pPr>
            <w:r w:rsidRPr="00541532">
              <w:rPr>
                <w:rFonts w:ascii="Arial" w:hAnsi="Arial" w:cs="Arial"/>
                <w:sz w:val="22"/>
                <w:szCs w:val="22"/>
              </w:rPr>
              <w:t>1</w:t>
            </w:r>
            <w:r w:rsidR="0035176B">
              <w:rPr>
                <w:rFonts w:ascii="Arial" w:hAnsi="Arial" w:cs="Arial"/>
                <w:sz w:val="22"/>
                <w:szCs w:val="22"/>
              </w:rPr>
              <w:t>88</w:t>
            </w:r>
            <w:r w:rsidRPr="00541532">
              <w:rPr>
                <w:rFonts w:ascii="Arial" w:hAnsi="Arial" w:cs="Arial"/>
                <w:sz w:val="22"/>
                <w:szCs w:val="22"/>
              </w:rPr>
              <w:t>.000</w:t>
            </w:r>
          </w:p>
        </w:tc>
        <w:tc>
          <w:tcPr>
            <w:tcW w:w="1200" w:type="dxa"/>
            <w:shd w:val="clear" w:color="auto" w:fill="auto"/>
            <w:vAlign w:val="center"/>
          </w:tcPr>
          <w:p w:rsidR="000C1EE0" w:rsidRPr="00541532" w:rsidRDefault="005E6446" w:rsidP="0035176B">
            <w:pPr>
              <w:pStyle w:val="BodyText"/>
              <w:spacing w:after="0"/>
              <w:jc w:val="right"/>
              <w:rPr>
                <w:rFonts w:ascii="Arial" w:hAnsi="Arial" w:cs="Arial"/>
                <w:sz w:val="22"/>
                <w:szCs w:val="22"/>
              </w:rPr>
            </w:pPr>
            <w:r w:rsidRPr="00541532">
              <w:rPr>
                <w:rFonts w:ascii="Arial" w:hAnsi="Arial" w:cs="Arial"/>
                <w:sz w:val="22"/>
                <w:szCs w:val="22"/>
              </w:rPr>
              <w:t>1</w:t>
            </w:r>
            <w:r w:rsidR="0035176B">
              <w:rPr>
                <w:rFonts w:ascii="Arial" w:hAnsi="Arial" w:cs="Arial"/>
                <w:sz w:val="22"/>
                <w:szCs w:val="22"/>
              </w:rPr>
              <w:t>88</w:t>
            </w:r>
            <w:r w:rsidRPr="00541532">
              <w:rPr>
                <w:rFonts w:ascii="Arial" w:hAnsi="Arial" w:cs="Arial"/>
                <w:sz w:val="22"/>
                <w:szCs w:val="22"/>
              </w:rPr>
              <w:t>.000</w:t>
            </w:r>
          </w:p>
        </w:tc>
      </w:tr>
      <w:tr w:rsidR="00A912DD" w:rsidRPr="000C552B" w:rsidTr="0077594B">
        <w:trPr>
          <w:trHeight w:val="269"/>
        </w:trPr>
        <w:tc>
          <w:tcPr>
            <w:tcW w:w="3244" w:type="dxa"/>
            <w:shd w:val="clear" w:color="auto" w:fill="auto"/>
            <w:vAlign w:val="center"/>
          </w:tcPr>
          <w:p w:rsidR="00A912DD" w:rsidRDefault="00A912DD" w:rsidP="005804A2">
            <w:pPr>
              <w:pStyle w:val="BodyText"/>
              <w:spacing w:after="0"/>
              <w:rPr>
                <w:rFonts w:ascii="Arial" w:hAnsi="Arial" w:cs="Arial"/>
                <w:sz w:val="22"/>
                <w:szCs w:val="22"/>
              </w:rPr>
            </w:pPr>
            <w:r>
              <w:rPr>
                <w:rFonts w:ascii="Arial" w:hAnsi="Arial" w:cs="Arial"/>
                <w:sz w:val="22"/>
                <w:szCs w:val="22"/>
              </w:rPr>
              <w:t>Loans to RSL’s</w:t>
            </w:r>
          </w:p>
          <w:p w:rsidR="00A912DD" w:rsidRPr="000C552B" w:rsidRDefault="00A912DD" w:rsidP="005804A2">
            <w:pPr>
              <w:pStyle w:val="BodyText"/>
              <w:spacing w:after="0"/>
              <w:rPr>
                <w:rFonts w:ascii="Arial" w:hAnsi="Arial" w:cs="Arial"/>
                <w:sz w:val="22"/>
                <w:szCs w:val="22"/>
              </w:rPr>
            </w:pPr>
          </w:p>
        </w:tc>
        <w:tc>
          <w:tcPr>
            <w:tcW w:w="1276" w:type="dxa"/>
            <w:shd w:val="clear" w:color="auto" w:fill="auto"/>
            <w:vAlign w:val="center"/>
          </w:tcPr>
          <w:p w:rsidR="00A912DD" w:rsidRPr="00541532" w:rsidRDefault="00A912DD" w:rsidP="005804A2">
            <w:pPr>
              <w:pStyle w:val="BodyText"/>
              <w:spacing w:after="0"/>
              <w:jc w:val="right"/>
              <w:rPr>
                <w:rFonts w:ascii="Arial" w:hAnsi="Arial" w:cs="Arial"/>
                <w:sz w:val="22"/>
                <w:szCs w:val="22"/>
              </w:rPr>
            </w:pPr>
            <w:r w:rsidRPr="00541532">
              <w:rPr>
                <w:rFonts w:ascii="Arial" w:hAnsi="Arial" w:cs="Arial"/>
                <w:sz w:val="22"/>
                <w:szCs w:val="22"/>
              </w:rPr>
              <w:t>100.000</w:t>
            </w:r>
          </w:p>
        </w:tc>
        <w:tc>
          <w:tcPr>
            <w:tcW w:w="1276" w:type="dxa"/>
            <w:shd w:val="clear" w:color="auto" w:fill="auto"/>
            <w:vAlign w:val="center"/>
          </w:tcPr>
          <w:p w:rsidR="00A912DD" w:rsidRPr="00541532" w:rsidRDefault="00044B76" w:rsidP="005804A2">
            <w:pPr>
              <w:pStyle w:val="BodyText"/>
              <w:spacing w:after="0"/>
              <w:jc w:val="right"/>
              <w:rPr>
                <w:rFonts w:ascii="Arial" w:hAnsi="Arial" w:cs="Arial"/>
                <w:sz w:val="22"/>
                <w:szCs w:val="22"/>
              </w:rPr>
            </w:pPr>
            <w:r w:rsidRPr="00541532">
              <w:rPr>
                <w:rFonts w:ascii="Arial" w:hAnsi="Arial" w:cs="Arial"/>
                <w:sz w:val="22"/>
                <w:szCs w:val="22"/>
              </w:rPr>
              <w:t>100.000</w:t>
            </w:r>
          </w:p>
        </w:tc>
        <w:tc>
          <w:tcPr>
            <w:tcW w:w="1276" w:type="dxa"/>
            <w:shd w:val="clear" w:color="auto" w:fill="auto"/>
            <w:vAlign w:val="center"/>
          </w:tcPr>
          <w:p w:rsidR="00A912DD" w:rsidRPr="00541532" w:rsidRDefault="00044B76" w:rsidP="005804A2">
            <w:pPr>
              <w:pStyle w:val="BodyText"/>
              <w:spacing w:after="0"/>
              <w:jc w:val="right"/>
              <w:rPr>
                <w:rFonts w:ascii="Arial" w:hAnsi="Arial" w:cs="Arial"/>
                <w:sz w:val="22"/>
                <w:szCs w:val="22"/>
              </w:rPr>
            </w:pPr>
            <w:r w:rsidRPr="00541532">
              <w:rPr>
                <w:rFonts w:ascii="Arial" w:hAnsi="Arial" w:cs="Arial"/>
                <w:sz w:val="22"/>
                <w:szCs w:val="22"/>
              </w:rPr>
              <w:t>100.000</w:t>
            </w:r>
          </w:p>
        </w:tc>
        <w:tc>
          <w:tcPr>
            <w:tcW w:w="1200" w:type="dxa"/>
            <w:shd w:val="clear" w:color="auto" w:fill="auto"/>
            <w:vAlign w:val="center"/>
          </w:tcPr>
          <w:p w:rsidR="00A912DD" w:rsidRPr="00541532" w:rsidRDefault="00044B76" w:rsidP="005804A2">
            <w:pPr>
              <w:pStyle w:val="BodyText"/>
              <w:spacing w:after="0"/>
              <w:jc w:val="right"/>
              <w:rPr>
                <w:rFonts w:ascii="Arial" w:hAnsi="Arial" w:cs="Arial"/>
                <w:sz w:val="22"/>
                <w:szCs w:val="22"/>
              </w:rPr>
            </w:pPr>
            <w:r w:rsidRPr="00541532">
              <w:rPr>
                <w:rFonts w:ascii="Arial" w:hAnsi="Arial" w:cs="Arial"/>
                <w:sz w:val="22"/>
                <w:szCs w:val="22"/>
              </w:rPr>
              <w:t>100.000</w:t>
            </w:r>
          </w:p>
        </w:tc>
      </w:tr>
      <w:tr w:rsidR="00044B76" w:rsidRPr="000C552B" w:rsidTr="0077594B">
        <w:tc>
          <w:tcPr>
            <w:tcW w:w="3244" w:type="dxa"/>
            <w:shd w:val="clear" w:color="auto" w:fill="auto"/>
            <w:vAlign w:val="center"/>
          </w:tcPr>
          <w:p w:rsidR="00044B76" w:rsidRDefault="00044B76" w:rsidP="005804A2">
            <w:pPr>
              <w:pStyle w:val="BodyText"/>
              <w:spacing w:after="0"/>
              <w:rPr>
                <w:rFonts w:ascii="Arial" w:hAnsi="Arial" w:cs="Arial"/>
                <w:sz w:val="22"/>
                <w:szCs w:val="22"/>
              </w:rPr>
            </w:pPr>
            <w:r>
              <w:rPr>
                <w:rFonts w:ascii="Arial" w:hAnsi="Arial" w:cs="Arial"/>
                <w:sz w:val="22"/>
                <w:szCs w:val="22"/>
              </w:rPr>
              <w:t>Loans to Joint Ventures</w:t>
            </w:r>
          </w:p>
        </w:tc>
        <w:tc>
          <w:tcPr>
            <w:tcW w:w="1276" w:type="dxa"/>
            <w:shd w:val="clear" w:color="auto" w:fill="auto"/>
            <w:vAlign w:val="center"/>
          </w:tcPr>
          <w:p w:rsidR="00044B76" w:rsidRPr="00541532" w:rsidRDefault="00A65BED" w:rsidP="005804A2">
            <w:pPr>
              <w:pStyle w:val="BodyText"/>
              <w:spacing w:after="0"/>
              <w:jc w:val="right"/>
              <w:rPr>
                <w:rFonts w:ascii="Arial" w:hAnsi="Arial" w:cs="Arial"/>
                <w:sz w:val="22"/>
                <w:szCs w:val="22"/>
              </w:rPr>
            </w:pPr>
            <w:r w:rsidRPr="00541532">
              <w:rPr>
                <w:rFonts w:ascii="Arial" w:hAnsi="Arial" w:cs="Arial"/>
                <w:sz w:val="22"/>
                <w:szCs w:val="22"/>
              </w:rPr>
              <w:t>5.000</w:t>
            </w:r>
          </w:p>
        </w:tc>
        <w:tc>
          <w:tcPr>
            <w:tcW w:w="1276" w:type="dxa"/>
            <w:shd w:val="clear" w:color="auto" w:fill="auto"/>
            <w:vAlign w:val="center"/>
          </w:tcPr>
          <w:p w:rsidR="00044B76" w:rsidRPr="00541532" w:rsidRDefault="00F90279" w:rsidP="00F90279">
            <w:pPr>
              <w:pStyle w:val="BodyText"/>
              <w:spacing w:after="0"/>
              <w:jc w:val="right"/>
              <w:rPr>
                <w:rFonts w:ascii="Arial" w:hAnsi="Arial" w:cs="Arial"/>
                <w:sz w:val="22"/>
                <w:szCs w:val="22"/>
              </w:rPr>
            </w:pPr>
            <w:r w:rsidRPr="00541532">
              <w:rPr>
                <w:rFonts w:ascii="Arial" w:hAnsi="Arial" w:cs="Arial"/>
                <w:sz w:val="22"/>
                <w:szCs w:val="22"/>
              </w:rPr>
              <w:t>9</w:t>
            </w:r>
            <w:r w:rsidR="00044B76" w:rsidRPr="00541532">
              <w:rPr>
                <w:rFonts w:ascii="Arial" w:hAnsi="Arial" w:cs="Arial"/>
                <w:sz w:val="22"/>
                <w:szCs w:val="22"/>
              </w:rPr>
              <w:t>.000</w:t>
            </w:r>
          </w:p>
        </w:tc>
        <w:tc>
          <w:tcPr>
            <w:tcW w:w="1276" w:type="dxa"/>
            <w:shd w:val="clear" w:color="auto" w:fill="auto"/>
            <w:vAlign w:val="center"/>
          </w:tcPr>
          <w:p w:rsidR="00044B76" w:rsidRPr="00541532" w:rsidRDefault="00A65BED" w:rsidP="005804A2">
            <w:pPr>
              <w:pStyle w:val="BodyText"/>
              <w:spacing w:after="0"/>
              <w:jc w:val="right"/>
              <w:rPr>
                <w:rFonts w:ascii="Arial" w:hAnsi="Arial" w:cs="Arial"/>
                <w:sz w:val="22"/>
                <w:szCs w:val="22"/>
              </w:rPr>
            </w:pPr>
            <w:r w:rsidRPr="00541532">
              <w:rPr>
                <w:rFonts w:ascii="Arial" w:hAnsi="Arial" w:cs="Arial"/>
                <w:sz w:val="22"/>
                <w:szCs w:val="22"/>
              </w:rPr>
              <w:t>9</w:t>
            </w:r>
            <w:r w:rsidR="00044B76" w:rsidRPr="00541532">
              <w:rPr>
                <w:rFonts w:ascii="Arial" w:hAnsi="Arial" w:cs="Arial"/>
                <w:sz w:val="22"/>
                <w:szCs w:val="22"/>
              </w:rPr>
              <w:t>.000</w:t>
            </w:r>
          </w:p>
        </w:tc>
        <w:tc>
          <w:tcPr>
            <w:tcW w:w="1200" w:type="dxa"/>
            <w:shd w:val="clear" w:color="auto" w:fill="auto"/>
            <w:vAlign w:val="center"/>
          </w:tcPr>
          <w:p w:rsidR="00044B76" w:rsidRPr="00541532" w:rsidRDefault="00541532" w:rsidP="005804A2">
            <w:pPr>
              <w:pStyle w:val="BodyText"/>
              <w:spacing w:after="0"/>
              <w:jc w:val="right"/>
              <w:rPr>
                <w:rFonts w:ascii="Arial" w:hAnsi="Arial" w:cs="Arial"/>
                <w:sz w:val="22"/>
                <w:szCs w:val="22"/>
              </w:rPr>
            </w:pPr>
            <w:r w:rsidRPr="00541532">
              <w:rPr>
                <w:rFonts w:ascii="Arial" w:hAnsi="Arial" w:cs="Arial"/>
                <w:sz w:val="22"/>
                <w:szCs w:val="22"/>
              </w:rPr>
              <w:t>9</w:t>
            </w:r>
            <w:r w:rsidR="00044B76" w:rsidRPr="00541532">
              <w:rPr>
                <w:rFonts w:ascii="Arial" w:hAnsi="Arial" w:cs="Arial"/>
                <w:sz w:val="22"/>
                <w:szCs w:val="22"/>
              </w:rPr>
              <w:t>.000</w:t>
            </w:r>
          </w:p>
        </w:tc>
      </w:tr>
      <w:tr w:rsidR="000C1EE0" w:rsidRPr="000C552B" w:rsidTr="0077594B">
        <w:tc>
          <w:tcPr>
            <w:tcW w:w="3244" w:type="dxa"/>
            <w:shd w:val="clear" w:color="auto" w:fill="auto"/>
            <w:vAlign w:val="center"/>
          </w:tcPr>
          <w:p w:rsidR="000C1EE0" w:rsidRPr="000C552B" w:rsidRDefault="000C1EE0" w:rsidP="005804A2">
            <w:pPr>
              <w:pStyle w:val="BodyText"/>
              <w:spacing w:after="0"/>
              <w:rPr>
                <w:rFonts w:ascii="Arial" w:hAnsi="Arial" w:cs="Arial"/>
                <w:sz w:val="22"/>
                <w:szCs w:val="22"/>
              </w:rPr>
            </w:pPr>
            <w:r w:rsidRPr="000C552B">
              <w:rPr>
                <w:rFonts w:ascii="Arial" w:hAnsi="Arial" w:cs="Arial"/>
                <w:sz w:val="22"/>
                <w:szCs w:val="22"/>
              </w:rPr>
              <w:t>Other long-term liabilities (OLTL)</w:t>
            </w:r>
          </w:p>
        </w:tc>
        <w:tc>
          <w:tcPr>
            <w:tcW w:w="1276" w:type="dxa"/>
            <w:shd w:val="clear" w:color="auto" w:fill="auto"/>
            <w:vAlign w:val="center"/>
          </w:tcPr>
          <w:p w:rsidR="000C1EE0" w:rsidRPr="00541532" w:rsidRDefault="00A912DD" w:rsidP="00F90279">
            <w:pPr>
              <w:pStyle w:val="BodyText"/>
              <w:spacing w:after="0"/>
              <w:jc w:val="right"/>
              <w:rPr>
                <w:rFonts w:ascii="Arial" w:hAnsi="Arial" w:cs="Arial"/>
                <w:sz w:val="22"/>
                <w:szCs w:val="22"/>
              </w:rPr>
            </w:pPr>
            <w:r w:rsidRPr="00541532">
              <w:rPr>
                <w:rFonts w:ascii="Arial" w:hAnsi="Arial" w:cs="Arial"/>
                <w:sz w:val="22"/>
                <w:szCs w:val="22"/>
              </w:rPr>
              <w:t>1</w:t>
            </w:r>
            <w:r w:rsidR="00F90279" w:rsidRPr="00541532">
              <w:rPr>
                <w:rFonts w:ascii="Arial" w:hAnsi="Arial" w:cs="Arial"/>
                <w:sz w:val="22"/>
                <w:szCs w:val="22"/>
              </w:rPr>
              <w:t>2</w:t>
            </w:r>
            <w:r w:rsidRPr="00541532">
              <w:rPr>
                <w:rFonts w:ascii="Arial" w:hAnsi="Arial" w:cs="Arial"/>
                <w:sz w:val="22"/>
                <w:szCs w:val="22"/>
              </w:rPr>
              <w:t>.</w:t>
            </w:r>
            <w:r w:rsidR="00F90279" w:rsidRPr="00541532">
              <w:rPr>
                <w:rFonts w:ascii="Arial" w:hAnsi="Arial" w:cs="Arial"/>
                <w:sz w:val="22"/>
                <w:szCs w:val="22"/>
              </w:rPr>
              <w:t>653</w:t>
            </w:r>
          </w:p>
        </w:tc>
        <w:tc>
          <w:tcPr>
            <w:tcW w:w="1276" w:type="dxa"/>
            <w:shd w:val="clear" w:color="auto" w:fill="auto"/>
            <w:vAlign w:val="center"/>
          </w:tcPr>
          <w:p w:rsidR="000C1EE0" w:rsidRPr="00541532" w:rsidRDefault="00044B76" w:rsidP="00F90279">
            <w:pPr>
              <w:pStyle w:val="BodyText"/>
              <w:spacing w:after="0"/>
              <w:jc w:val="right"/>
              <w:rPr>
                <w:rFonts w:ascii="Arial" w:hAnsi="Arial" w:cs="Arial"/>
                <w:sz w:val="22"/>
                <w:szCs w:val="22"/>
              </w:rPr>
            </w:pPr>
            <w:r w:rsidRPr="00541532">
              <w:rPr>
                <w:rFonts w:ascii="Arial" w:hAnsi="Arial" w:cs="Arial"/>
                <w:sz w:val="22"/>
                <w:szCs w:val="22"/>
              </w:rPr>
              <w:t>1</w:t>
            </w:r>
            <w:r w:rsidR="00F90279" w:rsidRPr="00541532">
              <w:rPr>
                <w:rFonts w:ascii="Arial" w:hAnsi="Arial" w:cs="Arial"/>
                <w:sz w:val="22"/>
                <w:szCs w:val="22"/>
              </w:rPr>
              <w:t>1</w:t>
            </w:r>
            <w:r w:rsidRPr="00541532">
              <w:rPr>
                <w:rFonts w:ascii="Arial" w:hAnsi="Arial" w:cs="Arial"/>
                <w:sz w:val="22"/>
                <w:szCs w:val="22"/>
              </w:rPr>
              <w:t>.</w:t>
            </w:r>
            <w:r w:rsidR="00F90279" w:rsidRPr="00541532">
              <w:rPr>
                <w:rFonts w:ascii="Arial" w:hAnsi="Arial" w:cs="Arial"/>
                <w:sz w:val="22"/>
                <w:szCs w:val="22"/>
              </w:rPr>
              <w:t>498</w:t>
            </w:r>
          </w:p>
        </w:tc>
        <w:tc>
          <w:tcPr>
            <w:tcW w:w="1276" w:type="dxa"/>
            <w:shd w:val="clear" w:color="auto" w:fill="auto"/>
            <w:vAlign w:val="center"/>
          </w:tcPr>
          <w:p w:rsidR="000C1EE0" w:rsidRPr="00541532" w:rsidRDefault="00044B76" w:rsidP="00F90279">
            <w:pPr>
              <w:pStyle w:val="BodyText"/>
              <w:spacing w:after="0"/>
              <w:jc w:val="right"/>
              <w:rPr>
                <w:rFonts w:ascii="Arial" w:hAnsi="Arial" w:cs="Arial"/>
                <w:sz w:val="22"/>
                <w:szCs w:val="22"/>
              </w:rPr>
            </w:pPr>
            <w:r w:rsidRPr="00541532">
              <w:rPr>
                <w:rFonts w:ascii="Arial" w:hAnsi="Arial" w:cs="Arial"/>
                <w:sz w:val="22"/>
                <w:szCs w:val="22"/>
              </w:rPr>
              <w:t>1</w:t>
            </w:r>
            <w:r w:rsidR="00F90279" w:rsidRPr="00541532">
              <w:rPr>
                <w:rFonts w:ascii="Arial" w:hAnsi="Arial" w:cs="Arial"/>
                <w:sz w:val="22"/>
                <w:szCs w:val="22"/>
              </w:rPr>
              <w:t>0</w:t>
            </w:r>
            <w:r w:rsidRPr="00541532">
              <w:rPr>
                <w:rFonts w:ascii="Arial" w:hAnsi="Arial" w:cs="Arial"/>
                <w:sz w:val="22"/>
                <w:szCs w:val="22"/>
              </w:rPr>
              <w:t>.</w:t>
            </w:r>
            <w:r w:rsidR="00F90279" w:rsidRPr="00541532">
              <w:rPr>
                <w:rFonts w:ascii="Arial" w:hAnsi="Arial" w:cs="Arial"/>
                <w:sz w:val="22"/>
                <w:szCs w:val="22"/>
              </w:rPr>
              <w:t>358</w:t>
            </w:r>
          </w:p>
        </w:tc>
        <w:tc>
          <w:tcPr>
            <w:tcW w:w="1200" w:type="dxa"/>
            <w:shd w:val="clear" w:color="auto" w:fill="auto"/>
            <w:vAlign w:val="center"/>
          </w:tcPr>
          <w:p w:rsidR="000C1EE0" w:rsidRPr="00541532" w:rsidRDefault="00F90279" w:rsidP="00541532">
            <w:pPr>
              <w:pStyle w:val="BodyText"/>
              <w:spacing w:after="0"/>
              <w:jc w:val="right"/>
              <w:rPr>
                <w:rFonts w:ascii="Arial" w:hAnsi="Arial" w:cs="Arial"/>
                <w:sz w:val="22"/>
                <w:szCs w:val="22"/>
              </w:rPr>
            </w:pPr>
            <w:r w:rsidRPr="00541532">
              <w:rPr>
                <w:rFonts w:ascii="Arial" w:hAnsi="Arial" w:cs="Arial"/>
                <w:sz w:val="22"/>
                <w:szCs w:val="22"/>
              </w:rPr>
              <w:t>9</w:t>
            </w:r>
            <w:r w:rsidR="00044B76" w:rsidRPr="00541532">
              <w:rPr>
                <w:rFonts w:ascii="Arial" w:hAnsi="Arial" w:cs="Arial"/>
                <w:sz w:val="22"/>
                <w:szCs w:val="22"/>
              </w:rPr>
              <w:t>.</w:t>
            </w:r>
            <w:r w:rsidRPr="00541532">
              <w:rPr>
                <w:rFonts w:ascii="Arial" w:hAnsi="Arial" w:cs="Arial"/>
                <w:sz w:val="22"/>
                <w:szCs w:val="22"/>
              </w:rPr>
              <w:t>23</w:t>
            </w:r>
            <w:r w:rsidR="00541532" w:rsidRPr="00541532">
              <w:rPr>
                <w:rFonts w:ascii="Arial" w:hAnsi="Arial" w:cs="Arial"/>
                <w:sz w:val="22"/>
                <w:szCs w:val="22"/>
              </w:rPr>
              <w:t>2</w:t>
            </w:r>
          </w:p>
        </w:tc>
      </w:tr>
      <w:tr w:rsidR="000C1EE0" w:rsidRPr="000C552B" w:rsidTr="0077594B">
        <w:tc>
          <w:tcPr>
            <w:tcW w:w="3244" w:type="dxa"/>
            <w:shd w:val="clear" w:color="auto" w:fill="auto"/>
            <w:vAlign w:val="center"/>
          </w:tcPr>
          <w:p w:rsidR="000C1EE0" w:rsidRPr="000C552B" w:rsidRDefault="000C1EE0" w:rsidP="005804A2">
            <w:pPr>
              <w:pStyle w:val="BodyText"/>
              <w:spacing w:after="0"/>
              <w:rPr>
                <w:rFonts w:ascii="Arial" w:hAnsi="Arial" w:cs="Arial"/>
                <w:b/>
                <w:sz w:val="22"/>
                <w:szCs w:val="22"/>
              </w:rPr>
            </w:pPr>
            <w:r>
              <w:rPr>
                <w:rFonts w:ascii="Arial" w:hAnsi="Arial" w:cs="Arial"/>
                <w:b/>
                <w:sz w:val="22"/>
                <w:szCs w:val="22"/>
              </w:rPr>
              <w:t xml:space="preserve">Gross </w:t>
            </w:r>
            <w:r w:rsidRPr="000C552B">
              <w:rPr>
                <w:rFonts w:ascii="Arial" w:hAnsi="Arial" w:cs="Arial"/>
                <w:b/>
                <w:sz w:val="22"/>
                <w:szCs w:val="22"/>
              </w:rPr>
              <w:t>Actual debt at 31 March</w:t>
            </w:r>
          </w:p>
        </w:tc>
        <w:tc>
          <w:tcPr>
            <w:tcW w:w="1276" w:type="dxa"/>
            <w:shd w:val="clear" w:color="auto" w:fill="auto"/>
            <w:vAlign w:val="center"/>
          </w:tcPr>
          <w:p w:rsidR="000C1EE0" w:rsidRPr="00541532" w:rsidRDefault="0035176B" w:rsidP="0035176B">
            <w:pPr>
              <w:pStyle w:val="BodyText"/>
              <w:spacing w:after="0"/>
              <w:jc w:val="right"/>
              <w:rPr>
                <w:rFonts w:ascii="Arial" w:hAnsi="Arial" w:cs="Arial"/>
                <w:b/>
                <w:sz w:val="22"/>
                <w:szCs w:val="22"/>
              </w:rPr>
            </w:pPr>
            <w:r>
              <w:rPr>
                <w:rFonts w:ascii="Arial" w:hAnsi="Arial" w:cs="Arial"/>
                <w:b/>
                <w:sz w:val="22"/>
                <w:szCs w:val="22"/>
              </w:rPr>
              <w:t>300</w:t>
            </w:r>
            <w:r w:rsidR="00A912DD" w:rsidRPr="00541532">
              <w:rPr>
                <w:rFonts w:ascii="Arial" w:hAnsi="Arial" w:cs="Arial"/>
                <w:b/>
                <w:sz w:val="22"/>
                <w:szCs w:val="22"/>
              </w:rPr>
              <w:t>.</w:t>
            </w:r>
            <w:r w:rsidR="00831C7A" w:rsidRPr="00541532">
              <w:rPr>
                <w:rFonts w:ascii="Arial" w:hAnsi="Arial" w:cs="Arial"/>
                <w:b/>
                <w:sz w:val="22"/>
                <w:szCs w:val="22"/>
              </w:rPr>
              <w:t>653</w:t>
            </w:r>
          </w:p>
        </w:tc>
        <w:tc>
          <w:tcPr>
            <w:tcW w:w="1276" w:type="dxa"/>
            <w:shd w:val="clear" w:color="auto" w:fill="auto"/>
            <w:vAlign w:val="center"/>
          </w:tcPr>
          <w:p w:rsidR="000C1EE0" w:rsidRPr="00541532" w:rsidRDefault="0035176B" w:rsidP="0035176B">
            <w:pPr>
              <w:pStyle w:val="BodyText"/>
              <w:spacing w:after="0"/>
              <w:jc w:val="right"/>
              <w:rPr>
                <w:rFonts w:ascii="Arial" w:hAnsi="Arial" w:cs="Arial"/>
                <w:b/>
                <w:sz w:val="22"/>
                <w:szCs w:val="22"/>
              </w:rPr>
            </w:pPr>
            <w:r>
              <w:rPr>
                <w:rFonts w:ascii="Arial" w:hAnsi="Arial" w:cs="Arial"/>
                <w:b/>
                <w:sz w:val="22"/>
                <w:szCs w:val="22"/>
              </w:rPr>
              <w:t>308</w:t>
            </w:r>
            <w:r w:rsidR="005E6446" w:rsidRPr="00541532">
              <w:rPr>
                <w:rFonts w:ascii="Arial" w:hAnsi="Arial" w:cs="Arial"/>
                <w:b/>
                <w:sz w:val="22"/>
                <w:szCs w:val="22"/>
              </w:rPr>
              <w:t>.</w:t>
            </w:r>
            <w:r w:rsidR="00831C7A" w:rsidRPr="00541532">
              <w:rPr>
                <w:rFonts w:ascii="Arial" w:hAnsi="Arial" w:cs="Arial"/>
                <w:b/>
                <w:sz w:val="22"/>
                <w:szCs w:val="22"/>
              </w:rPr>
              <w:t>498</w:t>
            </w:r>
          </w:p>
        </w:tc>
        <w:tc>
          <w:tcPr>
            <w:tcW w:w="1276" w:type="dxa"/>
            <w:shd w:val="clear" w:color="auto" w:fill="auto"/>
            <w:vAlign w:val="center"/>
          </w:tcPr>
          <w:p w:rsidR="000C1EE0" w:rsidRPr="00541532" w:rsidRDefault="0035176B" w:rsidP="0035176B">
            <w:pPr>
              <w:pStyle w:val="BodyText"/>
              <w:spacing w:after="0"/>
              <w:jc w:val="right"/>
              <w:rPr>
                <w:rFonts w:ascii="Arial" w:hAnsi="Arial" w:cs="Arial"/>
                <w:b/>
                <w:sz w:val="22"/>
                <w:szCs w:val="22"/>
              </w:rPr>
            </w:pPr>
            <w:r>
              <w:rPr>
                <w:rFonts w:ascii="Arial" w:hAnsi="Arial" w:cs="Arial"/>
                <w:b/>
                <w:sz w:val="22"/>
                <w:szCs w:val="22"/>
              </w:rPr>
              <w:t>307</w:t>
            </w:r>
            <w:r w:rsidR="005E6446" w:rsidRPr="00541532">
              <w:rPr>
                <w:rFonts w:ascii="Arial" w:hAnsi="Arial" w:cs="Arial"/>
                <w:b/>
                <w:sz w:val="22"/>
                <w:szCs w:val="22"/>
              </w:rPr>
              <w:t>.</w:t>
            </w:r>
            <w:r w:rsidR="00B70809" w:rsidRPr="00541532">
              <w:rPr>
                <w:rFonts w:ascii="Arial" w:hAnsi="Arial" w:cs="Arial"/>
                <w:b/>
                <w:sz w:val="22"/>
                <w:szCs w:val="22"/>
              </w:rPr>
              <w:t>358</w:t>
            </w:r>
          </w:p>
        </w:tc>
        <w:tc>
          <w:tcPr>
            <w:tcW w:w="1200" w:type="dxa"/>
            <w:shd w:val="clear" w:color="auto" w:fill="auto"/>
            <w:vAlign w:val="center"/>
          </w:tcPr>
          <w:p w:rsidR="000C1EE0" w:rsidRPr="00541532" w:rsidRDefault="0035176B" w:rsidP="0035176B">
            <w:pPr>
              <w:pStyle w:val="BodyText"/>
              <w:spacing w:after="0"/>
              <w:jc w:val="right"/>
              <w:rPr>
                <w:rFonts w:ascii="Arial" w:hAnsi="Arial" w:cs="Arial"/>
                <w:b/>
                <w:sz w:val="22"/>
                <w:szCs w:val="22"/>
              </w:rPr>
            </w:pPr>
            <w:r>
              <w:rPr>
                <w:rFonts w:ascii="Arial" w:hAnsi="Arial" w:cs="Arial"/>
                <w:b/>
                <w:sz w:val="22"/>
                <w:szCs w:val="22"/>
              </w:rPr>
              <w:t>306</w:t>
            </w:r>
            <w:r w:rsidR="00B70809" w:rsidRPr="00541532">
              <w:rPr>
                <w:rFonts w:ascii="Arial" w:hAnsi="Arial" w:cs="Arial"/>
                <w:b/>
                <w:sz w:val="22"/>
                <w:szCs w:val="22"/>
              </w:rPr>
              <w:t>.23</w:t>
            </w:r>
            <w:r w:rsidR="00541532" w:rsidRPr="00541532">
              <w:rPr>
                <w:rFonts w:ascii="Arial" w:hAnsi="Arial" w:cs="Arial"/>
                <w:b/>
                <w:sz w:val="22"/>
                <w:szCs w:val="22"/>
              </w:rPr>
              <w:t>2</w:t>
            </w:r>
          </w:p>
        </w:tc>
      </w:tr>
      <w:tr w:rsidR="000C1EE0" w:rsidRPr="000C552B" w:rsidTr="0077594B">
        <w:tc>
          <w:tcPr>
            <w:tcW w:w="3244" w:type="dxa"/>
            <w:shd w:val="clear" w:color="auto" w:fill="auto"/>
            <w:vAlign w:val="center"/>
          </w:tcPr>
          <w:p w:rsidR="000C1EE0" w:rsidRPr="000C552B" w:rsidRDefault="000C1EE0" w:rsidP="005804A2">
            <w:pPr>
              <w:pStyle w:val="BodyText"/>
              <w:spacing w:after="0"/>
              <w:rPr>
                <w:rFonts w:ascii="Arial" w:hAnsi="Arial" w:cs="Arial"/>
                <w:b/>
                <w:sz w:val="22"/>
                <w:szCs w:val="22"/>
              </w:rPr>
            </w:pPr>
            <w:r w:rsidRPr="000C552B">
              <w:rPr>
                <w:rFonts w:ascii="Arial" w:hAnsi="Arial" w:cs="Arial"/>
                <w:b/>
                <w:sz w:val="22"/>
                <w:szCs w:val="22"/>
              </w:rPr>
              <w:t>The Capital Financing Requirement from Table 5</w:t>
            </w:r>
          </w:p>
        </w:tc>
        <w:tc>
          <w:tcPr>
            <w:tcW w:w="1276" w:type="dxa"/>
            <w:shd w:val="clear" w:color="auto" w:fill="auto"/>
            <w:vAlign w:val="center"/>
          </w:tcPr>
          <w:p w:rsidR="000C1EE0" w:rsidRPr="00541532" w:rsidRDefault="007A2224" w:rsidP="0035176B">
            <w:pPr>
              <w:pStyle w:val="BodyText"/>
              <w:spacing w:after="0"/>
              <w:jc w:val="right"/>
              <w:rPr>
                <w:rFonts w:ascii="Arial" w:hAnsi="Arial" w:cs="Arial"/>
                <w:b/>
                <w:sz w:val="22"/>
                <w:szCs w:val="22"/>
              </w:rPr>
            </w:pPr>
            <w:r w:rsidRPr="00541532">
              <w:rPr>
                <w:rFonts w:ascii="Arial" w:hAnsi="Arial" w:cs="Arial"/>
                <w:b/>
                <w:sz w:val="22"/>
                <w:szCs w:val="22"/>
              </w:rPr>
              <w:t>3</w:t>
            </w:r>
            <w:r w:rsidR="0035176B">
              <w:rPr>
                <w:rFonts w:ascii="Arial" w:hAnsi="Arial" w:cs="Arial"/>
                <w:b/>
                <w:sz w:val="22"/>
                <w:szCs w:val="22"/>
              </w:rPr>
              <w:t>19</w:t>
            </w:r>
            <w:r w:rsidR="00A912DD" w:rsidRPr="00541532">
              <w:rPr>
                <w:rFonts w:ascii="Arial" w:hAnsi="Arial" w:cs="Arial"/>
                <w:b/>
                <w:sz w:val="22"/>
                <w:szCs w:val="22"/>
              </w:rPr>
              <w:t>.</w:t>
            </w:r>
            <w:r w:rsidRPr="00541532">
              <w:rPr>
                <w:rFonts w:ascii="Arial" w:hAnsi="Arial" w:cs="Arial"/>
                <w:b/>
                <w:sz w:val="22"/>
                <w:szCs w:val="22"/>
              </w:rPr>
              <w:t>48</w:t>
            </w:r>
            <w:r w:rsidR="00A65BED" w:rsidRPr="00541532">
              <w:rPr>
                <w:rFonts w:ascii="Arial" w:hAnsi="Arial" w:cs="Arial"/>
                <w:b/>
                <w:sz w:val="22"/>
                <w:szCs w:val="22"/>
              </w:rPr>
              <w:t>7</w:t>
            </w:r>
          </w:p>
        </w:tc>
        <w:tc>
          <w:tcPr>
            <w:tcW w:w="1276" w:type="dxa"/>
            <w:shd w:val="clear" w:color="auto" w:fill="auto"/>
            <w:vAlign w:val="center"/>
          </w:tcPr>
          <w:p w:rsidR="000C1EE0" w:rsidRPr="00541532" w:rsidRDefault="005E6446" w:rsidP="0035176B">
            <w:pPr>
              <w:pStyle w:val="BodyText"/>
              <w:spacing w:after="0"/>
              <w:jc w:val="right"/>
              <w:rPr>
                <w:rFonts w:ascii="Arial" w:hAnsi="Arial" w:cs="Arial"/>
                <w:b/>
                <w:sz w:val="22"/>
                <w:szCs w:val="22"/>
              </w:rPr>
            </w:pPr>
            <w:r w:rsidRPr="00541532">
              <w:rPr>
                <w:rFonts w:ascii="Arial" w:hAnsi="Arial" w:cs="Arial"/>
                <w:b/>
                <w:sz w:val="22"/>
                <w:szCs w:val="22"/>
              </w:rPr>
              <w:t>3</w:t>
            </w:r>
            <w:r w:rsidR="0035176B">
              <w:rPr>
                <w:rFonts w:ascii="Arial" w:hAnsi="Arial" w:cs="Arial"/>
                <w:b/>
                <w:sz w:val="22"/>
                <w:szCs w:val="22"/>
              </w:rPr>
              <w:t>26</w:t>
            </w:r>
            <w:r w:rsidRPr="00541532">
              <w:rPr>
                <w:rFonts w:ascii="Arial" w:hAnsi="Arial" w:cs="Arial"/>
                <w:b/>
                <w:sz w:val="22"/>
                <w:szCs w:val="22"/>
              </w:rPr>
              <w:t>.</w:t>
            </w:r>
            <w:r w:rsidR="007A2224" w:rsidRPr="00541532">
              <w:rPr>
                <w:rFonts w:ascii="Arial" w:hAnsi="Arial" w:cs="Arial"/>
                <w:b/>
                <w:sz w:val="22"/>
                <w:szCs w:val="22"/>
              </w:rPr>
              <w:t>70</w:t>
            </w:r>
            <w:r w:rsidR="00A65BED" w:rsidRPr="00541532">
              <w:rPr>
                <w:rFonts w:ascii="Arial" w:hAnsi="Arial" w:cs="Arial"/>
                <w:b/>
                <w:sz w:val="22"/>
                <w:szCs w:val="22"/>
              </w:rPr>
              <w:t>3</w:t>
            </w:r>
          </w:p>
        </w:tc>
        <w:tc>
          <w:tcPr>
            <w:tcW w:w="1276" w:type="dxa"/>
            <w:shd w:val="clear" w:color="auto" w:fill="auto"/>
            <w:vAlign w:val="center"/>
          </w:tcPr>
          <w:p w:rsidR="000C1EE0" w:rsidRPr="00541532" w:rsidRDefault="005E6446" w:rsidP="0035176B">
            <w:pPr>
              <w:pStyle w:val="BodyText"/>
              <w:spacing w:after="0"/>
              <w:jc w:val="right"/>
              <w:rPr>
                <w:rFonts w:ascii="Arial" w:hAnsi="Arial" w:cs="Arial"/>
                <w:b/>
                <w:sz w:val="22"/>
                <w:szCs w:val="22"/>
              </w:rPr>
            </w:pPr>
            <w:r w:rsidRPr="00541532">
              <w:rPr>
                <w:rFonts w:ascii="Arial" w:hAnsi="Arial" w:cs="Arial"/>
                <w:b/>
                <w:sz w:val="22"/>
                <w:szCs w:val="22"/>
              </w:rPr>
              <w:t>3</w:t>
            </w:r>
            <w:r w:rsidR="0035176B">
              <w:rPr>
                <w:rFonts w:ascii="Arial" w:hAnsi="Arial" w:cs="Arial"/>
                <w:b/>
                <w:sz w:val="22"/>
                <w:szCs w:val="22"/>
              </w:rPr>
              <w:t>24</w:t>
            </w:r>
            <w:r w:rsidRPr="00541532">
              <w:rPr>
                <w:rFonts w:ascii="Arial" w:hAnsi="Arial" w:cs="Arial"/>
                <w:b/>
                <w:sz w:val="22"/>
                <w:szCs w:val="22"/>
              </w:rPr>
              <w:t>.</w:t>
            </w:r>
            <w:r w:rsidR="007A2224" w:rsidRPr="00541532">
              <w:rPr>
                <w:rFonts w:ascii="Arial" w:hAnsi="Arial" w:cs="Arial"/>
                <w:b/>
                <w:sz w:val="22"/>
                <w:szCs w:val="22"/>
              </w:rPr>
              <w:t>93</w:t>
            </w:r>
            <w:r w:rsidR="00A65BED" w:rsidRPr="00541532">
              <w:rPr>
                <w:rFonts w:ascii="Arial" w:hAnsi="Arial" w:cs="Arial"/>
                <w:b/>
                <w:sz w:val="22"/>
                <w:szCs w:val="22"/>
              </w:rPr>
              <w:t>4</w:t>
            </w:r>
          </w:p>
        </w:tc>
        <w:tc>
          <w:tcPr>
            <w:tcW w:w="1200" w:type="dxa"/>
            <w:shd w:val="clear" w:color="auto" w:fill="auto"/>
            <w:vAlign w:val="center"/>
          </w:tcPr>
          <w:p w:rsidR="000C1EE0" w:rsidRPr="00541532" w:rsidRDefault="00C95381" w:rsidP="0035176B">
            <w:pPr>
              <w:pStyle w:val="BodyText"/>
              <w:spacing w:after="0"/>
              <w:jc w:val="right"/>
              <w:rPr>
                <w:rFonts w:ascii="Arial" w:hAnsi="Arial" w:cs="Arial"/>
                <w:b/>
                <w:sz w:val="22"/>
                <w:szCs w:val="22"/>
              </w:rPr>
            </w:pPr>
            <w:r w:rsidRPr="00541532">
              <w:rPr>
                <w:rFonts w:ascii="Arial" w:hAnsi="Arial" w:cs="Arial"/>
                <w:b/>
                <w:sz w:val="22"/>
                <w:szCs w:val="22"/>
              </w:rPr>
              <w:t>3</w:t>
            </w:r>
            <w:r w:rsidR="0035176B">
              <w:rPr>
                <w:rFonts w:ascii="Arial" w:hAnsi="Arial" w:cs="Arial"/>
                <w:b/>
                <w:sz w:val="22"/>
                <w:szCs w:val="22"/>
              </w:rPr>
              <w:t>23</w:t>
            </w:r>
            <w:r w:rsidR="005E6446" w:rsidRPr="00541532">
              <w:rPr>
                <w:rFonts w:ascii="Arial" w:hAnsi="Arial" w:cs="Arial"/>
                <w:b/>
                <w:sz w:val="22"/>
                <w:szCs w:val="22"/>
              </w:rPr>
              <w:t>.</w:t>
            </w:r>
            <w:r w:rsidR="007A2224" w:rsidRPr="00541532">
              <w:rPr>
                <w:rFonts w:ascii="Arial" w:hAnsi="Arial" w:cs="Arial"/>
                <w:b/>
                <w:sz w:val="22"/>
                <w:szCs w:val="22"/>
              </w:rPr>
              <w:t>17</w:t>
            </w:r>
            <w:r w:rsidR="00541532" w:rsidRPr="00541532">
              <w:rPr>
                <w:rFonts w:ascii="Arial" w:hAnsi="Arial" w:cs="Arial"/>
                <w:b/>
                <w:sz w:val="22"/>
                <w:szCs w:val="22"/>
              </w:rPr>
              <w:t>9</w:t>
            </w:r>
          </w:p>
        </w:tc>
      </w:tr>
      <w:tr w:rsidR="000C1EE0" w:rsidRPr="000C552B" w:rsidTr="0077594B">
        <w:tc>
          <w:tcPr>
            <w:tcW w:w="3244" w:type="dxa"/>
            <w:shd w:val="clear" w:color="auto" w:fill="auto"/>
            <w:vAlign w:val="center"/>
          </w:tcPr>
          <w:p w:rsidR="000C1EE0" w:rsidRPr="000C552B" w:rsidRDefault="000C1EE0" w:rsidP="005804A2">
            <w:pPr>
              <w:pStyle w:val="BodyText"/>
              <w:spacing w:after="0"/>
              <w:rPr>
                <w:rFonts w:ascii="Arial" w:hAnsi="Arial" w:cs="Arial"/>
                <w:b/>
                <w:sz w:val="22"/>
                <w:szCs w:val="22"/>
              </w:rPr>
            </w:pPr>
            <w:r w:rsidRPr="000C552B">
              <w:rPr>
                <w:rFonts w:ascii="Arial" w:hAnsi="Arial" w:cs="Arial"/>
                <w:b/>
                <w:sz w:val="22"/>
                <w:szCs w:val="22"/>
              </w:rPr>
              <w:t>Under / (over) borrowing</w:t>
            </w:r>
          </w:p>
        </w:tc>
        <w:tc>
          <w:tcPr>
            <w:tcW w:w="1276" w:type="dxa"/>
            <w:shd w:val="clear" w:color="auto" w:fill="auto"/>
            <w:vAlign w:val="center"/>
          </w:tcPr>
          <w:p w:rsidR="000C1EE0" w:rsidRPr="00541532" w:rsidRDefault="0035176B" w:rsidP="0035176B">
            <w:pPr>
              <w:pStyle w:val="BodyText"/>
              <w:spacing w:after="0"/>
              <w:jc w:val="right"/>
              <w:rPr>
                <w:rFonts w:ascii="Arial" w:hAnsi="Arial" w:cs="Arial"/>
                <w:b/>
                <w:sz w:val="22"/>
                <w:szCs w:val="22"/>
              </w:rPr>
            </w:pPr>
            <w:r>
              <w:rPr>
                <w:rFonts w:ascii="Arial" w:hAnsi="Arial" w:cs="Arial"/>
                <w:b/>
                <w:sz w:val="22"/>
                <w:szCs w:val="22"/>
              </w:rPr>
              <w:t>18</w:t>
            </w:r>
            <w:r w:rsidR="005E6446" w:rsidRPr="00541532">
              <w:rPr>
                <w:rFonts w:ascii="Arial" w:hAnsi="Arial" w:cs="Arial"/>
                <w:b/>
                <w:sz w:val="22"/>
                <w:szCs w:val="22"/>
              </w:rPr>
              <w:t>.</w:t>
            </w:r>
            <w:r w:rsidR="00831C7A" w:rsidRPr="00541532">
              <w:rPr>
                <w:rFonts w:ascii="Arial" w:hAnsi="Arial" w:cs="Arial"/>
                <w:b/>
                <w:sz w:val="22"/>
                <w:szCs w:val="22"/>
              </w:rPr>
              <w:t>83</w:t>
            </w:r>
            <w:r w:rsidR="00A65BED" w:rsidRPr="00541532">
              <w:rPr>
                <w:rFonts w:ascii="Arial" w:hAnsi="Arial" w:cs="Arial"/>
                <w:b/>
                <w:sz w:val="22"/>
                <w:szCs w:val="22"/>
              </w:rPr>
              <w:t>4</w:t>
            </w:r>
          </w:p>
        </w:tc>
        <w:tc>
          <w:tcPr>
            <w:tcW w:w="1276" w:type="dxa"/>
            <w:shd w:val="clear" w:color="auto" w:fill="auto"/>
            <w:vAlign w:val="center"/>
          </w:tcPr>
          <w:p w:rsidR="000C1EE0" w:rsidRPr="00541532" w:rsidRDefault="0035176B" w:rsidP="0035176B">
            <w:pPr>
              <w:pStyle w:val="BodyText"/>
              <w:spacing w:after="0"/>
              <w:jc w:val="right"/>
              <w:rPr>
                <w:rFonts w:ascii="Arial" w:hAnsi="Arial" w:cs="Arial"/>
                <w:b/>
                <w:sz w:val="22"/>
                <w:szCs w:val="22"/>
              </w:rPr>
            </w:pPr>
            <w:r>
              <w:rPr>
                <w:rFonts w:ascii="Arial" w:hAnsi="Arial" w:cs="Arial"/>
                <w:b/>
                <w:sz w:val="22"/>
                <w:szCs w:val="22"/>
              </w:rPr>
              <w:t>18</w:t>
            </w:r>
            <w:r w:rsidR="005E6446" w:rsidRPr="00541532">
              <w:rPr>
                <w:rFonts w:ascii="Arial" w:hAnsi="Arial" w:cs="Arial"/>
                <w:b/>
                <w:sz w:val="22"/>
                <w:szCs w:val="22"/>
              </w:rPr>
              <w:t>.</w:t>
            </w:r>
            <w:r w:rsidR="00831C7A" w:rsidRPr="00541532">
              <w:rPr>
                <w:rFonts w:ascii="Arial" w:hAnsi="Arial" w:cs="Arial"/>
                <w:b/>
                <w:sz w:val="22"/>
                <w:szCs w:val="22"/>
              </w:rPr>
              <w:t>20</w:t>
            </w:r>
            <w:r w:rsidR="00A65BED" w:rsidRPr="00541532">
              <w:rPr>
                <w:rFonts w:ascii="Arial" w:hAnsi="Arial" w:cs="Arial"/>
                <w:b/>
                <w:sz w:val="22"/>
                <w:szCs w:val="22"/>
              </w:rPr>
              <w:t>5</w:t>
            </w:r>
          </w:p>
        </w:tc>
        <w:tc>
          <w:tcPr>
            <w:tcW w:w="1276" w:type="dxa"/>
            <w:shd w:val="clear" w:color="auto" w:fill="auto"/>
            <w:vAlign w:val="center"/>
          </w:tcPr>
          <w:p w:rsidR="000C1EE0" w:rsidRPr="00541532" w:rsidRDefault="0035176B" w:rsidP="0035176B">
            <w:pPr>
              <w:pStyle w:val="BodyText"/>
              <w:spacing w:after="0"/>
              <w:jc w:val="right"/>
              <w:rPr>
                <w:rFonts w:ascii="Arial" w:hAnsi="Arial" w:cs="Arial"/>
                <w:b/>
                <w:sz w:val="22"/>
                <w:szCs w:val="22"/>
              </w:rPr>
            </w:pPr>
            <w:r>
              <w:rPr>
                <w:rFonts w:ascii="Arial" w:hAnsi="Arial" w:cs="Arial"/>
                <w:b/>
                <w:sz w:val="22"/>
                <w:szCs w:val="22"/>
              </w:rPr>
              <w:t>17</w:t>
            </w:r>
            <w:r w:rsidR="005E6446" w:rsidRPr="00541532">
              <w:rPr>
                <w:rFonts w:ascii="Arial" w:hAnsi="Arial" w:cs="Arial"/>
                <w:b/>
                <w:sz w:val="22"/>
                <w:szCs w:val="22"/>
              </w:rPr>
              <w:t>.</w:t>
            </w:r>
            <w:r w:rsidR="00B70809" w:rsidRPr="00541532">
              <w:rPr>
                <w:rFonts w:ascii="Arial" w:hAnsi="Arial" w:cs="Arial"/>
                <w:b/>
                <w:sz w:val="22"/>
                <w:szCs w:val="22"/>
              </w:rPr>
              <w:t>57</w:t>
            </w:r>
            <w:r w:rsidR="00541532" w:rsidRPr="00541532">
              <w:rPr>
                <w:rFonts w:ascii="Arial" w:hAnsi="Arial" w:cs="Arial"/>
                <w:b/>
                <w:sz w:val="22"/>
                <w:szCs w:val="22"/>
              </w:rPr>
              <w:t>6</w:t>
            </w:r>
          </w:p>
        </w:tc>
        <w:tc>
          <w:tcPr>
            <w:tcW w:w="1200" w:type="dxa"/>
            <w:shd w:val="clear" w:color="auto" w:fill="auto"/>
            <w:vAlign w:val="center"/>
          </w:tcPr>
          <w:p w:rsidR="000C1EE0" w:rsidRPr="00541532" w:rsidRDefault="0035176B" w:rsidP="0035176B">
            <w:pPr>
              <w:pStyle w:val="BodyText"/>
              <w:spacing w:after="0"/>
              <w:jc w:val="right"/>
              <w:rPr>
                <w:rFonts w:ascii="Arial" w:hAnsi="Arial" w:cs="Arial"/>
                <w:b/>
                <w:sz w:val="22"/>
                <w:szCs w:val="22"/>
              </w:rPr>
            </w:pPr>
            <w:r>
              <w:rPr>
                <w:rFonts w:ascii="Arial" w:hAnsi="Arial" w:cs="Arial"/>
                <w:b/>
                <w:sz w:val="22"/>
                <w:szCs w:val="22"/>
              </w:rPr>
              <w:t>16</w:t>
            </w:r>
            <w:r w:rsidR="005E6446" w:rsidRPr="00541532">
              <w:rPr>
                <w:rFonts w:ascii="Arial" w:hAnsi="Arial" w:cs="Arial"/>
                <w:b/>
                <w:sz w:val="22"/>
                <w:szCs w:val="22"/>
              </w:rPr>
              <w:t>.</w:t>
            </w:r>
            <w:r w:rsidR="00541532" w:rsidRPr="00541532">
              <w:rPr>
                <w:rFonts w:ascii="Arial" w:hAnsi="Arial" w:cs="Arial"/>
                <w:b/>
                <w:sz w:val="22"/>
                <w:szCs w:val="22"/>
              </w:rPr>
              <w:t>947</w:t>
            </w:r>
          </w:p>
        </w:tc>
      </w:tr>
    </w:tbl>
    <w:p w:rsidR="003B257E" w:rsidRDefault="003B257E" w:rsidP="005804A2">
      <w:pPr>
        <w:rPr>
          <w:rFonts w:ascii="Arial" w:hAnsi="Arial" w:cs="Arial"/>
          <w:szCs w:val="22"/>
        </w:rPr>
      </w:pPr>
    </w:p>
    <w:p w:rsidR="003B257E" w:rsidRDefault="00BB1CDB" w:rsidP="005804A2">
      <w:pPr>
        <w:numPr>
          <w:ilvl w:val="0"/>
          <w:numId w:val="1"/>
        </w:numPr>
        <w:rPr>
          <w:rFonts w:ascii="Arial" w:hAnsi="Arial" w:cs="Arial"/>
          <w:szCs w:val="22"/>
        </w:rPr>
      </w:pPr>
      <w:r>
        <w:rPr>
          <w:rFonts w:ascii="Arial" w:hAnsi="Arial" w:cs="Arial"/>
          <w:szCs w:val="22"/>
        </w:rPr>
        <w:t>Within the Prudential I</w:t>
      </w:r>
      <w:r w:rsidR="0038255F">
        <w:rPr>
          <w:rFonts w:ascii="Arial" w:hAnsi="Arial" w:cs="Arial"/>
          <w:szCs w:val="22"/>
        </w:rPr>
        <w:t>ndicators there are a number of key indicators to ensure that the Council operates its activities within well</w:t>
      </w:r>
      <w:r w:rsidR="002F3047">
        <w:rPr>
          <w:rFonts w:ascii="Arial" w:hAnsi="Arial" w:cs="Arial"/>
          <w:szCs w:val="22"/>
        </w:rPr>
        <w:t>-</w:t>
      </w:r>
      <w:r w:rsidR="0038255F">
        <w:rPr>
          <w:rFonts w:ascii="Arial" w:hAnsi="Arial" w:cs="Arial"/>
          <w:szCs w:val="22"/>
        </w:rPr>
        <w:t>defined limits.  One of these is that the Council needs to ensure that its gross debt does not, except in the short term, exceed the total of the CFR in the preceding year plus the estimates of any additional CF</w:t>
      </w:r>
      <w:r w:rsidR="00AB23E3">
        <w:rPr>
          <w:rFonts w:ascii="Arial" w:hAnsi="Arial" w:cs="Arial"/>
          <w:szCs w:val="22"/>
        </w:rPr>
        <w:t>R</w:t>
      </w:r>
      <w:r w:rsidR="0038255F">
        <w:rPr>
          <w:rFonts w:ascii="Arial" w:hAnsi="Arial" w:cs="Arial"/>
          <w:szCs w:val="22"/>
        </w:rPr>
        <w:t xml:space="preserve"> for 201</w:t>
      </w:r>
      <w:r w:rsidR="003023A7">
        <w:rPr>
          <w:rFonts w:ascii="Arial" w:hAnsi="Arial" w:cs="Arial"/>
          <w:szCs w:val="22"/>
        </w:rPr>
        <w:t>9</w:t>
      </w:r>
      <w:r w:rsidR="00885826">
        <w:rPr>
          <w:rFonts w:ascii="Arial" w:hAnsi="Arial" w:cs="Arial"/>
          <w:szCs w:val="22"/>
        </w:rPr>
        <w:t>/</w:t>
      </w:r>
      <w:r w:rsidR="003023A7">
        <w:rPr>
          <w:rFonts w:ascii="Arial" w:hAnsi="Arial" w:cs="Arial"/>
          <w:szCs w:val="22"/>
        </w:rPr>
        <w:t>20</w:t>
      </w:r>
      <w:r w:rsidR="00885826">
        <w:rPr>
          <w:rFonts w:ascii="Arial" w:hAnsi="Arial" w:cs="Arial"/>
          <w:szCs w:val="22"/>
        </w:rPr>
        <w:t xml:space="preserve"> </w:t>
      </w:r>
      <w:r w:rsidR="0038255F">
        <w:rPr>
          <w:rFonts w:ascii="Arial" w:hAnsi="Arial" w:cs="Arial"/>
          <w:szCs w:val="22"/>
        </w:rPr>
        <w:t>and the following two financial years.  This allows some flexibility for limited early borrowing</w:t>
      </w:r>
      <w:r w:rsidR="007E7A5A">
        <w:rPr>
          <w:rFonts w:ascii="Arial" w:hAnsi="Arial" w:cs="Arial"/>
          <w:szCs w:val="22"/>
        </w:rPr>
        <w:t xml:space="preserve"> for future years, but ensures that the borrowing is not undertaken for revenue purposes.</w:t>
      </w:r>
    </w:p>
    <w:p w:rsidR="007E7A5A" w:rsidRDefault="007E7A5A" w:rsidP="005804A2">
      <w:pPr>
        <w:rPr>
          <w:rFonts w:ascii="Arial" w:hAnsi="Arial" w:cs="Arial"/>
          <w:szCs w:val="22"/>
        </w:rPr>
      </w:pPr>
    </w:p>
    <w:p w:rsidR="007E7A5A" w:rsidRDefault="007E7A5A" w:rsidP="005804A2">
      <w:pPr>
        <w:numPr>
          <w:ilvl w:val="0"/>
          <w:numId w:val="1"/>
        </w:numPr>
        <w:rPr>
          <w:rFonts w:ascii="Arial" w:hAnsi="Arial" w:cs="Arial"/>
          <w:szCs w:val="22"/>
        </w:rPr>
      </w:pPr>
      <w:r>
        <w:rPr>
          <w:rFonts w:ascii="Arial" w:hAnsi="Arial" w:cs="Arial"/>
          <w:szCs w:val="22"/>
        </w:rPr>
        <w:t xml:space="preserve">The </w:t>
      </w:r>
      <w:r w:rsidR="003023A7">
        <w:rPr>
          <w:rFonts w:ascii="Arial" w:hAnsi="Arial" w:cs="Arial"/>
          <w:szCs w:val="22"/>
        </w:rPr>
        <w:t xml:space="preserve">Assistant </w:t>
      </w:r>
      <w:r w:rsidR="00CF0A3F">
        <w:rPr>
          <w:rFonts w:ascii="Arial" w:hAnsi="Arial" w:cs="Arial"/>
          <w:szCs w:val="22"/>
        </w:rPr>
        <w:t>Director</w:t>
      </w:r>
      <w:r w:rsidR="002F3047">
        <w:rPr>
          <w:rFonts w:ascii="Arial" w:hAnsi="Arial" w:cs="Arial"/>
          <w:szCs w:val="22"/>
        </w:rPr>
        <w:t xml:space="preserve"> Resources</w:t>
      </w:r>
      <w:r>
        <w:rPr>
          <w:rFonts w:ascii="Arial" w:hAnsi="Arial" w:cs="Arial"/>
          <w:szCs w:val="22"/>
        </w:rPr>
        <w:t xml:space="preserve"> reports that the Council complied with this prudential indicator in the current year and does not envisage difficulties for the future.  This takes into account current commitments, existing plans, and proposals in this budget report.</w:t>
      </w:r>
    </w:p>
    <w:p w:rsidR="003B257E" w:rsidRDefault="003B257E" w:rsidP="005804A2">
      <w:pPr>
        <w:rPr>
          <w:rFonts w:ascii="Arial" w:hAnsi="Arial" w:cs="Arial"/>
          <w:szCs w:val="22"/>
        </w:rPr>
      </w:pPr>
    </w:p>
    <w:p w:rsidR="00AB23E3" w:rsidRDefault="00AB23E3" w:rsidP="005804A2">
      <w:pPr>
        <w:numPr>
          <w:ilvl w:val="12"/>
          <w:numId w:val="0"/>
        </w:numPr>
        <w:rPr>
          <w:rFonts w:ascii="Arial" w:hAnsi="Arial" w:cs="Arial"/>
          <w:b/>
          <w:bCs/>
          <w:noProof/>
          <w:szCs w:val="36"/>
        </w:rPr>
      </w:pPr>
      <w:r w:rsidRPr="00AB23E3">
        <w:rPr>
          <w:rFonts w:ascii="Arial" w:hAnsi="Arial" w:cs="Arial"/>
          <w:b/>
          <w:bCs/>
          <w:noProof/>
          <w:szCs w:val="36"/>
        </w:rPr>
        <w:t>Treasury Indicators: Limits to Borrowing Activity</w:t>
      </w:r>
    </w:p>
    <w:p w:rsidR="005804A2" w:rsidRPr="00AB23E3" w:rsidRDefault="005804A2" w:rsidP="005804A2">
      <w:pPr>
        <w:numPr>
          <w:ilvl w:val="12"/>
          <w:numId w:val="0"/>
        </w:numPr>
        <w:rPr>
          <w:rFonts w:ascii="Arial" w:hAnsi="Arial" w:cs="Arial"/>
          <w:b/>
          <w:bCs/>
          <w:noProof/>
          <w:szCs w:val="36"/>
        </w:rPr>
      </w:pPr>
    </w:p>
    <w:p w:rsidR="00AB23E3" w:rsidRDefault="00251B9C" w:rsidP="005804A2">
      <w:pPr>
        <w:pStyle w:val="BodyText"/>
        <w:spacing w:after="0"/>
        <w:jc w:val="both"/>
        <w:rPr>
          <w:rFonts w:ascii="Arial" w:hAnsi="Arial" w:cs="Arial"/>
          <w:b/>
          <w:szCs w:val="22"/>
        </w:rPr>
      </w:pPr>
      <w:r>
        <w:rPr>
          <w:rFonts w:ascii="Arial" w:hAnsi="Arial" w:cs="Arial"/>
          <w:b/>
          <w:szCs w:val="22"/>
        </w:rPr>
        <w:t>The Operational Boundary</w:t>
      </w:r>
    </w:p>
    <w:p w:rsidR="005804A2" w:rsidRPr="00AB23E3" w:rsidRDefault="005804A2" w:rsidP="005804A2">
      <w:pPr>
        <w:pStyle w:val="BodyText"/>
        <w:spacing w:after="0"/>
        <w:jc w:val="both"/>
        <w:rPr>
          <w:rFonts w:ascii="Arial" w:hAnsi="Arial" w:cs="Arial"/>
          <w:b/>
          <w:szCs w:val="22"/>
        </w:rPr>
      </w:pPr>
    </w:p>
    <w:p w:rsidR="0062063B" w:rsidRDefault="00AB23E3" w:rsidP="005804A2">
      <w:pPr>
        <w:numPr>
          <w:ilvl w:val="0"/>
          <w:numId w:val="1"/>
        </w:numPr>
        <w:rPr>
          <w:rFonts w:ascii="Arial" w:hAnsi="Arial" w:cs="Arial"/>
          <w:szCs w:val="22"/>
        </w:rPr>
      </w:pPr>
      <w:r w:rsidRPr="00160300">
        <w:rPr>
          <w:rFonts w:ascii="Arial" w:hAnsi="Arial" w:cs="Arial"/>
          <w:szCs w:val="22"/>
        </w:rPr>
        <w:t>This is the limit beyond which external debt is not normally expected to exceed.  In most cases, this would be a similar figure to the CFR, but may be lower or higher depending on the levels of actual debt</w:t>
      </w:r>
      <w:r w:rsidR="006049AB">
        <w:rPr>
          <w:rFonts w:ascii="Arial" w:hAnsi="Arial" w:cs="Arial"/>
          <w:szCs w:val="22"/>
        </w:rPr>
        <w:t xml:space="preserve"> and the ability to fund under-borrowing by other cash resources</w:t>
      </w:r>
      <w:r w:rsidRPr="00160300">
        <w:rPr>
          <w:rFonts w:ascii="Arial" w:hAnsi="Arial" w:cs="Arial"/>
          <w:szCs w:val="22"/>
        </w:rPr>
        <w:t>.</w:t>
      </w:r>
    </w:p>
    <w:p w:rsidR="0062063B" w:rsidRDefault="0062063B">
      <w:pPr>
        <w:overflowPunct/>
        <w:autoSpaceDE/>
        <w:autoSpaceDN/>
        <w:adjustRightInd/>
        <w:textAlignment w:val="auto"/>
        <w:rPr>
          <w:rFonts w:ascii="Arial" w:hAnsi="Arial" w:cs="Arial"/>
          <w:szCs w:val="22"/>
        </w:rPr>
      </w:pPr>
    </w:p>
    <w:p w:rsidR="00AB23E3" w:rsidRDefault="00AB23E3" w:rsidP="005804A2">
      <w:pPr>
        <w:rPr>
          <w:rFonts w:ascii="Arial" w:hAnsi="Arial" w:cs="Arial"/>
          <w:b/>
          <w:sz w:val="22"/>
          <w:szCs w:val="22"/>
        </w:rPr>
      </w:pPr>
      <w:r w:rsidRPr="00AB23E3">
        <w:rPr>
          <w:rFonts w:ascii="Arial" w:hAnsi="Arial" w:cs="Arial"/>
          <w:b/>
          <w:sz w:val="22"/>
          <w:szCs w:val="22"/>
        </w:rPr>
        <w:t xml:space="preserve"> </w:t>
      </w:r>
      <w:r w:rsidR="00822040">
        <w:rPr>
          <w:rFonts w:ascii="Arial" w:hAnsi="Arial" w:cs="Arial"/>
          <w:b/>
          <w:sz w:val="22"/>
          <w:szCs w:val="22"/>
        </w:rPr>
        <w:t xml:space="preserve">Table 8 - </w:t>
      </w:r>
      <w:r w:rsidRPr="00AB23E3">
        <w:rPr>
          <w:rFonts w:ascii="Arial" w:hAnsi="Arial" w:cs="Arial"/>
          <w:b/>
          <w:sz w:val="22"/>
          <w:szCs w:val="22"/>
        </w:rPr>
        <w:t>Operational Boundary</w:t>
      </w:r>
    </w:p>
    <w:p w:rsidR="00251B9C" w:rsidRPr="00AB23E3" w:rsidRDefault="00251B9C" w:rsidP="005804A2">
      <w:pPr>
        <w:rPr>
          <w:rFonts w:ascii="Arial" w:hAnsi="Arial" w:cs="Arial"/>
          <w:b/>
          <w:sz w:val="22"/>
          <w:szCs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1276"/>
        <w:gridCol w:w="1417"/>
        <w:gridCol w:w="1418"/>
        <w:gridCol w:w="1343"/>
      </w:tblGrid>
      <w:tr w:rsidR="000C1EE0" w:rsidRPr="00AB23E3" w:rsidTr="0077594B">
        <w:tc>
          <w:tcPr>
            <w:tcW w:w="3006" w:type="dxa"/>
            <w:shd w:val="clear" w:color="auto" w:fill="D9D9D9"/>
          </w:tcPr>
          <w:p w:rsidR="000C1EE0" w:rsidRPr="00AB23E3" w:rsidRDefault="000C1EE0" w:rsidP="005804A2">
            <w:pPr>
              <w:jc w:val="both"/>
              <w:rPr>
                <w:rFonts w:ascii="Arial" w:hAnsi="Arial" w:cs="Arial"/>
                <w:sz w:val="22"/>
                <w:szCs w:val="22"/>
              </w:rPr>
            </w:pPr>
          </w:p>
        </w:tc>
        <w:tc>
          <w:tcPr>
            <w:tcW w:w="1276" w:type="dxa"/>
            <w:shd w:val="clear" w:color="auto" w:fill="D9D9D9"/>
          </w:tcPr>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201</w:t>
            </w:r>
            <w:r w:rsidR="00C01EA5">
              <w:rPr>
                <w:rFonts w:ascii="Arial" w:hAnsi="Arial" w:cs="Arial"/>
                <w:b/>
                <w:bCs/>
                <w:sz w:val="22"/>
                <w:szCs w:val="22"/>
              </w:rPr>
              <w:t>8</w:t>
            </w:r>
            <w:r>
              <w:rPr>
                <w:rFonts w:ascii="Arial" w:hAnsi="Arial" w:cs="Arial"/>
                <w:b/>
                <w:bCs/>
                <w:sz w:val="22"/>
                <w:szCs w:val="22"/>
              </w:rPr>
              <w:t>/1</w:t>
            </w:r>
            <w:r w:rsidR="00C01EA5">
              <w:rPr>
                <w:rFonts w:ascii="Arial" w:hAnsi="Arial" w:cs="Arial"/>
                <w:b/>
                <w:bCs/>
                <w:sz w:val="22"/>
                <w:szCs w:val="22"/>
              </w:rPr>
              <w:t>9</w:t>
            </w:r>
          </w:p>
          <w:p w:rsidR="00F45AC7" w:rsidRDefault="00F45AC7" w:rsidP="000C1EE0">
            <w:pPr>
              <w:pStyle w:val="BodyText"/>
              <w:spacing w:after="0"/>
              <w:jc w:val="center"/>
              <w:rPr>
                <w:rFonts w:ascii="Arial" w:hAnsi="Arial" w:cs="Arial"/>
                <w:b/>
                <w:bCs/>
                <w:sz w:val="22"/>
                <w:szCs w:val="22"/>
              </w:rPr>
            </w:pPr>
            <w:r>
              <w:rPr>
                <w:rFonts w:ascii="Arial" w:hAnsi="Arial" w:cs="Arial"/>
                <w:b/>
                <w:bCs/>
                <w:sz w:val="22"/>
                <w:szCs w:val="22"/>
              </w:rPr>
              <w:t>Revised</w:t>
            </w:r>
          </w:p>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w:t>
            </w:r>
            <w:r w:rsidR="00C01EA5">
              <w:rPr>
                <w:rFonts w:ascii="Arial" w:hAnsi="Arial" w:cs="Arial"/>
                <w:b/>
                <w:bCs/>
                <w:sz w:val="22"/>
                <w:szCs w:val="22"/>
              </w:rPr>
              <w:t>m</w:t>
            </w:r>
          </w:p>
        </w:tc>
        <w:tc>
          <w:tcPr>
            <w:tcW w:w="1417" w:type="dxa"/>
            <w:shd w:val="clear" w:color="auto" w:fill="D9D9D9"/>
          </w:tcPr>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201</w:t>
            </w:r>
            <w:r w:rsidR="00C01EA5">
              <w:rPr>
                <w:rFonts w:ascii="Arial" w:hAnsi="Arial" w:cs="Arial"/>
                <w:b/>
                <w:bCs/>
                <w:sz w:val="22"/>
                <w:szCs w:val="22"/>
              </w:rPr>
              <w:t>9</w:t>
            </w:r>
            <w:r>
              <w:rPr>
                <w:rFonts w:ascii="Arial" w:hAnsi="Arial" w:cs="Arial"/>
                <w:b/>
                <w:bCs/>
                <w:sz w:val="22"/>
                <w:szCs w:val="22"/>
              </w:rPr>
              <w:t>/</w:t>
            </w:r>
            <w:r w:rsidR="00C01EA5">
              <w:rPr>
                <w:rFonts w:ascii="Arial" w:hAnsi="Arial" w:cs="Arial"/>
                <w:b/>
                <w:bCs/>
                <w:sz w:val="22"/>
                <w:szCs w:val="22"/>
              </w:rPr>
              <w:t>20</w:t>
            </w:r>
          </w:p>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Estimate £</w:t>
            </w:r>
            <w:r w:rsidR="00C01EA5">
              <w:rPr>
                <w:rFonts w:ascii="Arial" w:hAnsi="Arial" w:cs="Arial"/>
                <w:b/>
                <w:bCs/>
                <w:sz w:val="22"/>
                <w:szCs w:val="22"/>
              </w:rPr>
              <w:t>m</w:t>
            </w:r>
          </w:p>
        </w:tc>
        <w:tc>
          <w:tcPr>
            <w:tcW w:w="1418" w:type="dxa"/>
            <w:shd w:val="clear" w:color="auto" w:fill="D9D9D9"/>
          </w:tcPr>
          <w:p w:rsidR="000C1EE0" w:rsidRDefault="000C1EE0" w:rsidP="000C1EE0">
            <w:pPr>
              <w:pStyle w:val="BodyText"/>
              <w:spacing w:after="0"/>
              <w:jc w:val="center"/>
              <w:rPr>
                <w:rFonts w:ascii="Arial" w:hAnsi="Arial" w:cs="Arial"/>
                <w:b/>
                <w:bCs/>
                <w:sz w:val="22"/>
                <w:szCs w:val="22"/>
              </w:rPr>
            </w:pPr>
            <w:r>
              <w:rPr>
                <w:rFonts w:ascii="Arial" w:hAnsi="Arial" w:cs="Arial"/>
                <w:b/>
                <w:bCs/>
                <w:sz w:val="22"/>
                <w:szCs w:val="22"/>
              </w:rPr>
              <w:t>20</w:t>
            </w:r>
            <w:r w:rsidR="00C01EA5">
              <w:rPr>
                <w:rFonts w:ascii="Arial" w:hAnsi="Arial" w:cs="Arial"/>
                <w:b/>
                <w:bCs/>
                <w:sz w:val="22"/>
                <w:szCs w:val="22"/>
              </w:rPr>
              <w:t>20</w:t>
            </w:r>
            <w:r>
              <w:rPr>
                <w:rFonts w:ascii="Arial" w:hAnsi="Arial" w:cs="Arial"/>
                <w:b/>
                <w:bCs/>
                <w:sz w:val="22"/>
                <w:szCs w:val="22"/>
              </w:rPr>
              <w:t>/2</w:t>
            </w:r>
            <w:r w:rsidR="00C01EA5">
              <w:rPr>
                <w:rFonts w:ascii="Arial" w:hAnsi="Arial" w:cs="Arial"/>
                <w:b/>
                <w:bCs/>
                <w:sz w:val="22"/>
                <w:szCs w:val="22"/>
              </w:rPr>
              <w:t>1</w:t>
            </w:r>
          </w:p>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Estimate £</w:t>
            </w:r>
            <w:r w:rsidR="00C01EA5">
              <w:rPr>
                <w:rFonts w:ascii="Arial" w:hAnsi="Arial" w:cs="Arial"/>
                <w:b/>
                <w:bCs/>
                <w:sz w:val="22"/>
                <w:szCs w:val="22"/>
              </w:rPr>
              <w:t>m</w:t>
            </w:r>
          </w:p>
        </w:tc>
        <w:tc>
          <w:tcPr>
            <w:tcW w:w="1343" w:type="dxa"/>
            <w:shd w:val="clear" w:color="auto" w:fill="D9D9D9"/>
          </w:tcPr>
          <w:p w:rsidR="00F45AC7" w:rsidRPr="00330F7B" w:rsidRDefault="00F45AC7" w:rsidP="00F45AC7">
            <w:pPr>
              <w:pStyle w:val="BodyText"/>
              <w:spacing w:after="0"/>
              <w:jc w:val="center"/>
              <w:rPr>
                <w:rFonts w:ascii="Arial" w:hAnsi="Arial" w:cs="Arial"/>
                <w:b/>
                <w:bCs/>
                <w:sz w:val="22"/>
                <w:szCs w:val="22"/>
              </w:rPr>
            </w:pPr>
            <w:r>
              <w:rPr>
                <w:rFonts w:ascii="Arial" w:hAnsi="Arial" w:cs="Arial"/>
                <w:b/>
                <w:bCs/>
                <w:sz w:val="22"/>
                <w:szCs w:val="22"/>
              </w:rPr>
              <w:t>202</w:t>
            </w:r>
            <w:r w:rsidR="00C01EA5">
              <w:rPr>
                <w:rFonts w:ascii="Arial" w:hAnsi="Arial" w:cs="Arial"/>
                <w:b/>
                <w:bCs/>
                <w:sz w:val="22"/>
                <w:szCs w:val="22"/>
              </w:rPr>
              <w:t>1</w:t>
            </w:r>
            <w:r>
              <w:rPr>
                <w:rFonts w:ascii="Arial" w:hAnsi="Arial" w:cs="Arial"/>
                <w:b/>
                <w:bCs/>
                <w:sz w:val="22"/>
                <w:szCs w:val="22"/>
              </w:rPr>
              <w:t>/2</w:t>
            </w:r>
            <w:r w:rsidR="00C01EA5">
              <w:rPr>
                <w:rFonts w:ascii="Arial" w:hAnsi="Arial" w:cs="Arial"/>
                <w:b/>
                <w:bCs/>
                <w:sz w:val="22"/>
                <w:szCs w:val="22"/>
              </w:rPr>
              <w:t>2</w:t>
            </w:r>
          </w:p>
          <w:p w:rsidR="000C1EE0" w:rsidRPr="00330F7B" w:rsidRDefault="00C01EA5" w:rsidP="00C01EA5">
            <w:pPr>
              <w:pStyle w:val="BodyText"/>
              <w:spacing w:after="0"/>
              <w:jc w:val="center"/>
              <w:rPr>
                <w:rFonts w:ascii="Arial" w:hAnsi="Arial" w:cs="Arial"/>
                <w:b/>
                <w:bCs/>
                <w:sz w:val="22"/>
                <w:szCs w:val="22"/>
              </w:rPr>
            </w:pPr>
            <w:r>
              <w:rPr>
                <w:rFonts w:ascii="Arial" w:hAnsi="Arial" w:cs="Arial"/>
                <w:b/>
                <w:bCs/>
                <w:sz w:val="22"/>
                <w:szCs w:val="22"/>
              </w:rPr>
              <w:t>Estimate £m</w:t>
            </w:r>
          </w:p>
        </w:tc>
      </w:tr>
      <w:tr w:rsidR="000C1EE0" w:rsidRPr="00AB23E3" w:rsidTr="0077594B">
        <w:tc>
          <w:tcPr>
            <w:tcW w:w="3006" w:type="dxa"/>
          </w:tcPr>
          <w:p w:rsidR="000C1EE0" w:rsidRPr="00AB23E3" w:rsidRDefault="000C1EE0" w:rsidP="002679A2">
            <w:pPr>
              <w:jc w:val="both"/>
              <w:rPr>
                <w:rFonts w:ascii="Arial" w:hAnsi="Arial" w:cs="Arial"/>
                <w:sz w:val="22"/>
                <w:szCs w:val="22"/>
              </w:rPr>
            </w:pPr>
            <w:r w:rsidRPr="00AB23E3">
              <w:rPr>
                <w:rFonts w:ascii="Arial" w:hAnsi="Arial" w:cs="Arial"/>
                <w:sz w:val="22"/>
                <w:szCs w:val="22"/>
              </w:rPr>
              <w:t>Debt</w:t>
            </w:r>
            <w:r>
              <w:rPr>
                <w:rFonts w:ascii="Arial" w:hAnsi="Arial" w:cs="Arial"/>
                <w:sz w:val="22"/>
                <w:szCs w:val="22"/>
              </w:rPr>
              <w:t xml:space="preserve"> from </w:t>
            </w:r>
            <w:r w:rsidRPr="002679A2">
              <w:rPr>
                <w:rFonts w:ascii="Arial" w:hAnsi="Arial" w:cs="Arial"/>
                <w:sz w:val="22"/>
                <w:szCs w:val="22"/>
              </w:rPr>
              <w:t xml:space="preserve">Table </w:t>
            </w:r>
            <w:r w:rsidR="002679A2" w:rsidRPr="002679A2">
              <w:rPr>
                <w:rFonts w:ascii="Arial" w:hAnsi="Arial" w:cs="Arial"/>
                <w:sz w:val="22"/>
                <w:szCs w:val="22"/>
              </w:rPr>
              <w:t>7</w:t>
            </w:r>
          </w:p>
        </w:tc>
        <w:tc>
          <w:tcPr>
            <w:tcW w:w="1276" w:type="dxa"/>
          </w:tcPr>
          <w:p w:rsidR="000C1EE0" w:rsidRPr="00541532" w:rsidRDefault="00B33D81" w:rsidP="0057295A">
            <w:pPr>
              <w:jc w:val="right"/>
              <w:rPr>
                <w:rFonts w:ascii="Arial" w:hAnsi="Arial" w:cs="Arial"/>
                <w:sz w:val="22"/>
                <w:szCs w:val="22"/>
              </w:rPr>
            </w:pPr>
            <w:r w:rsidRPr="00541532">
              <w:rPr>
                <w:rFonts w:ascii="Arial" w:hAnsi="Arial" w:cs="Arial"/>
                <w:sz w:val="22"/>
                <w:szCs w:val="22"/>
              </w:rPr>
              <w:t>2</w:t>
            </w:r>
            <w:r w:rsidR="0057295A">
              <w:rPr>
                <w:rFonts w:ascii="Arial" w:hAnsi="Arial" w:cs="Arial"/>
                <w:sz w:val="22"/>
                <w:szCs w:val="22"/>
              </w:rPr>
              <w:t>88</w:t>
            </w:r>
            <w:r w:rsidRPr="00541532">
              <w:rPr>
                <w:rFonts w:ascii="Arial" w:hAnsi="Arial" w:cs="Arial"/>
                <w:sz w:val="22"/>
                <w:szCs w:val="22"/>
              </w:rPr>
              <w:t>.000</w:t>
            </w:r>
          </w:p>
        </w:tc>
        <w:tc>
          <w:tcPr>
            <w:tcW w:w="1417" w:type="dxa"/>
          </w:tcPr>
          <w:p w:rsidR="000C1EE0" w:rsidRPr="00541532" w:rsidRDefault="00B33D81" w:rsidP="0057295A">
            <w:pPr>
              <w:tabs>
                <w:tab w:val="right" w:pos="702"/>
              </w:tabs>
              <w:jc w:val="right"/>
              <w:rPr>
                <w:rFonts w:ascii="Arial" w:hAnsi="Arial" w:cs="Arial"/>
                <w:sz w:val="22"/>
                <w:szCs w:val="22"/>
              </w:rPr>
            </w:pPr>
            <w:r w:rsidRPr="00541532">
              <w:rPr>
                <w:rFonts w:ascii="Arial" w:hAnsi="Arial" w:cs="Arial"/>
                <w:sz w:val="22"/>
                <w:szCs w:val="22"/>
              </w:rPr>
              <w:t>2</w:t>
            </w:r>
            <w:r w:rsidR="0057295A">
              <w:rPr>
                <w:rFonts w:ascii="Arial" w:hAnsi="Arial" w:cs="Arial"/>
                <w:sz w:val="22"/>
                <w:szCs w:val="22"/>
              </w:rPr>
              <w:t>97</w:t>
            </w:r>
            <w:r w:rsidRPr="00541532">
              <w:rPr>
                <w:rFonts w:ascii="Arial" w:hAnsi="Arial" w:cs="Arial"/>
                <w:sz w:val="22"/>
                <w:szCs w:val="22"/>
              </w:rPr>
              <w:t>.000</w:t>
            </w:r>
          </w:p>
        </w:tc>
        <w:tc>
          <w:tcPr>
            <w:tcW w:w="1418" w:type="dxa"/>
          </w:tcPr>
          <w:p w:rsidR="000C1EE0" w:rsidRPr="00541532" w:rsidRDefault="00B33D81" w:rsidP="0057295A">
            <w:pPr>
              <w:jc w:val="right"/>
              <w:rPr>
                <w:rFonts w:ascii="Arial" w:hAnsi="Arial" w:cs="Arial"/>
                <w:sz w:val="22"/>
                <w:szCs w:val="22"/>
              </w:rPr>
            </w:pPr>
            <w:r w:rsidRPr="00541532">
              <w:rPr>
                <w:rFonts w:ascii="Arial" w:hAnsi="Arial" w:cs="Arial"/>
                <w:sz w:val="22"/>
                <w:szCs w:val="22"/>
              </w:rPr>
              <w:t>2</w:t>
            </w:r>
            <w:r w:rsidR="0057295A">
              <w:rPr>
                <w:rFonts w:ascii="Arial" w:hAnsi="Arial" w:cs="Arial"/>
                <w:sz w:val="22"/>
                <w:szCs w:val="22"/>
              </w:rPr>
              <w:t>9</w:t>
            </w:r>
            <w:r w:rsidR="00541532" w:rsidRPr="00541532">
              <w:rPr>
                <w:rFonts w:ascii="Arial" w:hAnsi="Arial" w:cs="Arial"/>
                <w:sz w:val="22"/>
                <w:szCs w:val="22"/>
              </w:rPr>
              <w:t>7</w:t>
            </w:r>
            <w:r w:rsidRPr="00541532">
              <w:rPr>
                <w:rFonts w:ascii="Arial" w:hAnsi="Arial" w:cs="Arial"/>
                <w:sz w:val="22"/>
                <w:szCs w:val="22"/>
              </w:rPr>
              <w:t>.000</w:t>
            </w:r>
          </w:p>
        </w:tc>
        <w:tc>
          <w:tcPr>
            <w:tcW w:w="1343" w:type="dxa"/>
          </w:tcPr>
          <w:p w:rsidR="000C1EE0" w:rsidRPr="00541532" w:rsidRDefault="00B33D81" w:rsidP="0057295A">
            <w:pPr>
              <w:jc w:val="right"/>
              <w:rPr>
                <w:rFonts w:ascii="Arial" w:hAnsi="Arial" w:cs="Arial"/>
                <w:sz w:val="22"/>
                <w:szCs w:val="22"/>
              </w:rPr>
            </w:pPr>
            <w:r w:rsidRPr="00541532">
              <w:rPr>
                <w:rFonts w:ascii="Arial" w:hAnsi="Arial" w:cs="Arial"/>
                <w:sz w:val="22"/>
                <w:szCs w:val="22"/>
              </w:rPr>
              <w:t>2</w:t>
            </w:r>
            <w:r w:rsidR="0057295A">
              <w:rPr>
                <w:rFonts w:ascii="Arial" w:hAnsi="Arial" w:cs="Arial"/>
                <w:sz w:val="22"/>
                <w:szCs w:val="22"/>
              </w:rPr>
              <w:t>9</w:t>
            </w:r>
            <w:r w:rsidR="00541532" w:rsidRPr="00541532">
              <w:rPr>
                <w:rFonts w:ascii="Arial" w:hAnsi="Arial" w:cs="Arial"/>
                <w:sz w:val="22"/>
                <w:szCs w:val="22"/>
              </w:rPr>
              <w:t>7</w:t>
            </w:r>
            <w:r w:rsidRPr="00541532">
              <w:rPr>
                <w:rFonts w:ascii="Arial" w:hAnsi="Arial" w:cs="Arial"/>
                <w:sz w:val="22"/>
                <w:szCs w:val="22"/>
              </w:rPr>
              <w:t>.000</w:t>
            </w:r>
          </w:p>
        </w:tc>
      </w:tr>
      <w:tr w:rsidR="000C1EE0" w:rsidRPr="00AB23E3" w:rsidTr="0077594B">
        <w:tc>
          <w:tcPr>
            <w:tcW w:w="3006" w:type="dxa"/>
          </w:tcPr>
          <w:p w:rsidR="000C1EE0" w:rsidRPr="00AB23E3" w:rsidRDefault="000C1EE0" w:rsidP="005804A2">
            <w:pPr>
              <w:jc w:val="both"/>
              <w:rPr>
                <w:rFonts w:ascii="Arial" w:hAnsi="Arial" w:cs="Arial"/>
                <w:sz w:val="22"/>
                <w:szCs w:val="22"/>
              </w:rPr>
            </w:pPr>
            <w:r w:rsidRPr="00AB23E3">
              <w:rPr>
                <w:rFonts w:ascii="Arial" w:hAnsi="Arial" w:cs="Arial"/>
                <w:sz w:val="22"/>
                <w:szCs w:val="22"/>
              </w:rPr>
              <w:t>Other long term liabilities</w:t>
            </w:r>
          </w:p>
        </w:tc>
        <w:tc>
          <w:tcPr>
            <w:tcW w:w="1276" w:type="dxa"/>
          </w:tcPr>
          <w:p w:rsidR="000C1EE0" w:rsidRPr="00541532" w:rsidRDefault="00B33D81" w:rsidP="00DE5F22">
            <w:pPr>
              <w:jc w:val="right"/>
              <w:rPr>
                <w:rFonts w:ascii="Arial" w:hAnsi="Arial" w:cs="Arial"/>
                <w:sz w:val="22"/>
                <w:szCs w:val="22"/>
              </w:rPr>
            </w:pPr>
            <w:r w:rsidRPr="00541532">
              <w:rPr>
                <w:rFonts w:ascii="Arial" w:hAnsi="Arial" w:cs="Arial"/>
                <w:sz w:val="22"/>
                <w:szCs w:val="22"/>
              </w:rPr>
              <w:t>1</w:t>
            </w:r>
            <w:r w:rsidR="00DE5F22" w:rsidRPr="00541532">
              <w:rPr>
                <w:rFonts w:ascii="Arial" w:hAnsi="Arial" w:cs="Arial"/>
                <w:sz w:val="22"/>
                <w:szCs w:val="22"/>
              </w:rPr>
              <w:t>2</w:t>
            </w:r>
            <w:r w:rsidRPr="00541532">
              <w:rPr>
                <w:rFonts w:ascii="Arial" w:hAnsi="Arial" w:cs="Arial"/>
                <w:sz w:val="22"/>
                <w:szCs w:val="22"/>
              </w:rPr>
              <w:t>.</w:t>
            </w:r>
            <w:r w:rsidR="00DE5F22" w:rsidRPr="00541532">
              <w:rPr>
                <w:rFonts w:ascii="Arial" w:hAnsi="Arial" w:cs="Arial"/>
                <w:sz w:val="22"/>
                <w:szCs w:val="22"/>
              </w:rPr>
              <w:t>653</w:t>
            </w:r>
          </w:p>
        </w:tc>
        <w:tc>
          <w:tcPr>
            <w:tcW w:w="1417" w:type="dxa"/>
          </w:tcPr>
          <w:p w:rsidR="000C1EE0" w:rsidRPr="00541532" w:rsidRDefault="00B33D81" w:rsidP="00DE5F22">
            <w:pPr>
              <w:tabs>
                <w:tab w:val="right" w:pos="702"/>
              </w:tabs>
              <w:jc w:val="right"/>
              <w:rPr>
                <w:rFonts w:ascii="Arial" w:hAnsi="Arial" w:cs="Arial"/>
                <w:sz w:val="22"/>
                <w:szCs w:val="22"/>
              </w:rPr>
            </w:pPr>
            <w:r w:rsidRPr="00541532">
              <w:rPr>
                <w:rFonts w:ascii="Arial" w:hAnsi="Arial" w:cs="Arial"/>
                <w:sz w:val="22"/>
                <w:szCs w:val="22"/>
              </w:rPr>
              <w:t>1</w:t>
            </w:r>
            <w:r w:rsidR="00DE5F22" w:rsidRPr="00541532">
              <w:rPr>
                <w:rFonts w:ascii="Arial" w:hAnsi="Arial" w:cs="Arial"/>
                <w:sz w:val="22"/>
                <w:szCs w:val="22"/>
              </w:rPr>
              <w:t>1</w:t>
            </w:r>
            <w:r w:rsidRPr="00541532">
              <w:rPr>
                <w:rFonts w:ascii="Arial" w:hAnsi="Arial" w:cs="Arial"/>
                <w:sz w:val="22"/>
                <w:szCs w:val="22"/>
              </w:rPr>
              <w:t>.</w:t>
            </w:r>
            <w:r w:rsidR="00DE5F22" w:rsidRPr="00541532">
              <w:rPr>
                <w:rFonts w:ascii="Arial" w:hAnsi="Arial" w:cs="Arial"/>
                <w:sz w:val="22"/>
                <w:szCs w:val="22"/>
              </w:rPr>
              <w:t>498</w:t>
            </w:r>
          </w:p>
        </w:tc>
        <w:tc>
          <w:tcPr>
            <w:tcW w:w="1418" w:type="dxa"/>
          </w:tcPr>
          <w:p w:rsidR="000C1EE0" w:rsidRPr="00541532" w:rsidRDefault="00B33D81" w:rsidP="00DE5F22">
            <w:pPr>
              <w:jc w:val="right"/>
              <w:rPr>
                <w:rFonts w:ascii="Arial" w:hAnsi="Arial" w:cs="Arial"/>
                <w:sz w:val="22"/>
                <w:szCs w:val="22"/>
              </w:rPr>
            </w:pPr>
            <w:r w:rsidRPr="00541532">
              <w:rPr>
                <w:rFonts w:ascii="Arial" w:hAnsi="Arial" w:cs="Arial"/>
                <w:sz w:val="22"/>
                <w:szCs w:val="22"/>
              </w:rPr>
              <w:t>1</w:t>
            </w:r>
            <w:r w:rsidR="00DE5F22" w:rsidRPr="00541532">
              <w:rPr>
                <w:rFonts w:ascii="Arial" w:hAnsi="Arial" w:cs="Arial"/>
                <w:sz w:val="22"/>
                <w:szCs w:val="22"/>
              </w:rPr>
              <w:t>0</w:t>
            </w:r>
            <w:r w:rsidRPr="00541532">
              <w:rPr>
                <w:rFonts w:ascii="Arial" w:hAnsi="Arial" w:cs="Arial"/>
                <w:sz w:val="22"/>
                <w:szCs w:val="22"/>
              </w:rPr>
              <w:t>.</w:t>
            </w:r>
            <w:r w:rsidR="00DE5F22" w:rsidRPr="00541532">
              <w:rPr>
                <w:rFonts w:ascii="Arial" w:hAnsi="Arial" w:cs="Arial"/>
                <w:sz w:val="22"/>
                <w:szCs w:val="22"/>
              </w:rPr>
              <w:t>358</w:t>
            </w:r>
          </w:p>
        </w:tc>
        <w:tc>
          <w:tcPr>
            <w:tcW w:w="1343" w:type="dxa"/>
          </w:tcPr>
          <w:p w:rsidR="000C1EE0" w:rsidRPr="00541532" w:rsidRDefault="00DE5F22" w:rsidP="00541532">
            <w:pPr>
              <w:jc w:val="right"/>
              <w:rPr>
                <w:rFonts w:ascii="Arial" w:hAnsi="Arial" w:cs="Arial"/>
                <w:sz w:val="22"/>
                <w:szCs w:val="22"/>
              </w:rPr>
            </w:pPr>
            <w:r w:rsidRPr="00541532">
              <w:rPr>
                <w:rFonts w:ascii="Arial" w:hAnsi="Arial" w:cs="Arial"/>
                <w:sz w:val="22"/>
                <w:szCs w:val="22"/>
              </w:rPr>
              <w:t>9</w:t>
            </w:r>
            <w:r w:rsidR="00B33D81" w:rsidRPr="00541532">
              <w:rPr>
                <w:rFonts w:ascii="Arial" w:hAnsi="Arial" w:cs="Arial"/>
                <w:sz w:val="22"/>
                <w:szCs w:val="22"/>
              </w:rPr>
              <w:t>.</w:t>
            </w:r>
            <w:r w:rsidRPr="00541532">
              <w:rPr>
                <w:rFonts w:ascii="Arial" w:hAnsi="Arial" w:cs="Arial"/>
                <w:sz w:val="22"/>
                <w:szCs w:val="22"/>
              </w:rPr>
              <w:t>23</w:t>
            </w:r>
            <w:r w:rsidR="00541532" w:rsidRPr="00541532">
              <w:rPr>
                <w:rFonts w:ascii="Arial" w:hAnsi="Arial" w:cs="Arial"/>
                <w:sz w:val="22"/>
                <w:szCs w:val="22"/>
              </w:rPr>
              <w:t>2</w:t>
            </w:r>
          </w:p>
        </w:tc>
      </w:tr>
      <w:tr w:rsidR="000C1EE0" w:rsidRPr="00AB23E3" w:rsidTr="0077594B">
        <w:tc>
          <w:tcPr>
            <w:tcW w:w="3006" w:type="dxa"/>
          </w:tcPr>
          <w:p w:rsidR="000C1EE0" w:rsidRPr="00AB23E3" w:rsidRDefault="000C1EE0" w:rsidP="0077594B">
            <w:pPr>
              <w:jc w:val="both"/>
              <w:rPr>
                <w:rFonts w:ascii="Arial" w:hAnsi="Arial" w:cs="Arial"/>
                <w:sz w:val="22"/>
                <w:szCs w:val="22"/>
              </w:rPr>
            </w:pPr>
            <w:r w:rsidRPr="00AB23E3">
              <w:rPr>
                <w:rFonts w:ascii="Arial" w:hAnsi="Arial" w:cs="Arial"/>
                <w:sz w:val="22"/>
                <w:szCs w:val="22"/>
              </w:rPr>
              <w:t>Prudential</w:t>
            </w:r>
            <w:r w:rsidR="0077594B">
              <w:rPr>
                <w:rFonts w:ascii="Arial" w:hAnsi="Arial" w:cs="Arial"/>
                <w:sz w:val="22"/>
                <w:szCs w:val="22"/>
              </w:rPr>
              <w:t xml:space="preserve"> </w:t>
            </w:r>
            <w:r w:rsidRPr="00AB23E3">
              <w:rPr>
                <w:rFonts w:ascii="Arial" w:hAnsi="Arial" w:cs="Arial"/>
                <w:sz w:val="22"/>
                <w:szCs w:val="22"/>
              </w:rPr>
              <w:t>Borrowing for leasable assets</w:t>
            </w:r>
          </w:p>
        </w:tc>
        <w:tc>
          <w:tcPr>
            <w:tcW w:w="1276" w:type="dxa"/>
          </w:tcPr>
          <w:p w:rsidR="000C1EE0" w:rsidRPr="00541532" w:rsidRDefault="00B33D81" w:rsidP="005804A2">
            <w:pPr>
              <w:jc w:val="right"/>
              <w:rPr>
                <w:rFonts w:ascii="Arial" w:hAnsi="Arial" w:cs="Arial"/>
                <w:sz w:val="22"/>
                <w:szCs w:val="22"/>
              </w:rPr>
            </w:pPr>
            <w:r w:rsidRPr="00541532">
              <w:rPr>
                <w:rFonts w:ascii="Arial" w:hAnsi="Arial" w:cs="Arial"/>
                <w:sz w:val="22"/>
                <w:szCs w:val="22"/>
              </w:rPr>
              <w:t>0.000</w:t>
            </w:r>
          </w:p>
        </w:tc>
        <w:tc>
          <w:tcPr>
            <w:tcW w:w="1417" w:type="dxa"/>
          </w:tcPr>
          <w:p w:rsidR="000C1EE0" w:rsidRPr="00541532" w:rsidRDefault="00B33D81" w:rsidP="005804A2">
            <w:pPr>
              <w:tabs>
                <w:tab w:val="right" w:pos="702"/>
              </w:tabs>
              <w:jc w:val="right"/>
              <w:rPr>
                <w:rFonts w:ascii="Arial" w:hAnsi="Arial" w:cs="Arial"/>
                <w:sz w:val="22"/>
                <w:szCs w:val="22"/>
              </w:rPr>
            </w:pPr>
            <w:r w:rsidRPr="00541532">
              <w:rPr>
                <w:rFonts w:ascii="Arial" w:hAnsi="Arial" w:cs="Arial"/>
                <w:sz w:val="22"/>
                <w:szCs w:val="22"/>
              </w:rPr>
              <w:t>1.000</w:t>
            </w:r>
          </w:p>
        </w:tc>
        <w:tc>
          <w:tcPr>
            <w:tcW w:w="1418" w:type="dxa"/>
          </w:tcPr>
          <w:p w:rsidR="000C1EE0" w:rsidRPr="00541532" w:rsidRDefault="00B33D81" w:rsidP="005804A2">
            <w:pPr>
              <w:jc w:val="right"/>
              <w:rPr>
                <w:rFonts w:ascii="Arial" w:hAnsi="Arial" w:cs="Arial"/>
                <w:sz w:val="22"/>
                <w:szCs w:val="22"/>
              </w:rPr>
            </w:pPr>
            <w:r w:rsidRPr="00541532">
              <w:rPr>
                <w:rFonts w:ascii="Arial" w:hAnsi="Arial" w:cs="Arial"/>
                <w:sz w:val="22"/>
                <w:szCs w:val="22"/>
              </w:rPr>
              <w:t>1.000</w:t>
            </w:r>
          </w:p>
        </w:tc>
        <w:tc>
          <w:tcPr>
            <w:tcW w:w="1343" w:type="dxa"/>
          </w:tcPr>
          <w:p w:rsidR="000C1EE0" w:rsidRPr="00541532" w:rsidRDefault="00B33D81" w:rsidP="005804A2">
            <w:pPr>
              <w:jc w:val="right"/>
              <w:rPr>
                <w:rFonts w:ascii="Arial" w:hAnsi="Arial" w:cs="Arial"/>
                <w:sz w:val="22"/>
                <w:szCs w:val="22"/>
              </w:rPr>
            </w:pPr>
            <w:r w:rsidRPr="00541532">
              <w:rPr>
                <w:rFonts w:ascii="Arial" w:hAnsi="Arial" w:cs="Arial"/>
                <w:sz w:val="22"/>
                <w:szCs w:val="22"/>
              </w:rPr>
              <w:t>1.000</w:t>
            </w:r>
          </w:p>
        </w:tc>
      </w:tr>
      <w:tr w:rsidR="000C1EE0" w:rsidRPr="00AB23E3" w:rsidTr="0077594B">
        <w:tc>
          <w:tcPr>
            <w:tcW w:w="3006" w:type="dxa"/>
          </w:tcPr>
          <w:p w:rsidR="000C1EE0" w:rsidRPr="00AB23E3" w:rsidRDefault="000C1EE0" w:rsidP="005804A2">
            <w:pPr>
              <w:rPr>
                <w:rFonts w:ascii="Arial" w:hAnsi="Arial" w:cs="Arial"/>
                <w:sz w:val="22"/>
                <w:szCs w:val="22"/>
              </w:rPr>
            </w:pPr>
            <w:r w:rsidRPr="00AB23E3">
              <w:rPr>
                <w:rFonts w:ascii="Arial" w:hAnsi="Arial" w:cs="Arial"/>
                <w:sz w:val="22"/>
                <w:szCs w:val="22"/>
              </w:rPr>
              <w:t>Prudential Borrowing under Directors Delegated Powers</w:t>
            </w:r>
          </w:p>
        </w:tc>
        <w:tc>
          <w:tcPr>
            <w:tcW w:w="1276" w:type="dxa"/>
          </w:tcPr>
          <w:p w:rsidR="000C1EE0" w:rsidRPr="00541532" w:rsidRDefault="00B33D81" w:rsidP="005804A2">
            <w:pPr>
              <w:jc w:val="right"/>
              <w:rPr>
                <w:rFonts w:ascii="Arial" w:hAnsi="Arial" w:cs="Arial"/>
                <w:sz w:val="22"/>
                <w:szCs w:val="22"/>
              </w:rPr>
            </w:pPr>
            <w:r w:rsidRPr="00541532">
              <w:rPr>
                <w:rFonts w:ascii="Arial" w:hAnsi="Arial" w:cs="Arial"/>
                <w:sz w:val="22"/>
                <w:szCs w:val="22"/>
              </w:rPr>
              <w:t>0.000</w:t>
            </w:r>
          </w:p>
        </w:tc>
        <w:tc>
          <w:tcPr>
            <w:tcW w:w="1417" w:type="dxa"/>
          </w:tcPr>
          <w:p w:rsidR="000C1EE0" w:rsidRPr="00541532" w:rsidRDefault="00B33D81" w:rsidP="005804A2">
            <w:pPr>
              <w:tabs>
                <w:tab w:val="right" w:pos="702"/>
              </w:tabs>
              <w:jc w:val="right"/>
              <w:rPr>
                <w:rFonts w:ascii="Arial" w:hAnsi="Arial" w:cs="Arial"/>
                <w:sz w:val="22"/>
                <w:szCs w:val="22"/>
              </w:rPr>
            </w:pPr>
            <w:r w:rsidRPr="00541532">
              <w:rPr>
                <w:rFonts w:ascii="Arial" w:hAnsi="Arial" w:cs="Arial"/>
                <w:sz w:val="22"/>
                <w:szCs w:val="22"/>
              </w:rPr>
              <w:t>1.000</w:t>
            </w:r>
          </w:p>
        </w:tc>
        <w:tc>
          <w:tcPr>
            <w:tcW w:w="1418" w:type="dxa"/>
          </w:tcPr>
          <w:p w:rsidR="000C1EE0" w:rsidRPr="00541532" w:rsidRDefault="00B33D81" w:rsidP="005804A2">
            <w:pPr>
              <w:jc w:val="right"/>
              <w:rPr>
                <w:rFonts w:ascii="Arial" w:hAnsi="Arial" w:cs="Arial"/>
                <w:sz w:val="22"/>
                <w:szCs w:val="22"/>
              </w:rPr>
            </w:pPr>
            <w:r w:rsidRPr="00541532">
              <w:rPr>
                <w:rFonts w:ascii="Arial" w:hAnsi="Arial" w:cs="Arial"/>
                <w:sz w:val="22"/>
                <w:szCs w:val="22"/>
              </w:rPr>
              <w:t>1.000</w:t>
            </w:r>
          </w:p>
        </w:tc>
        <w:tc>
          <w:tcPr>
            <w:tcW w:w="1343" w:type="dxa"/>
          </w:tcPr>
          <w:p w:rsidR="000C1EE0" w:rsidRPr="00541532" w:rsidRDefault="00B33D81" w:rsidP="005804A2">
            <w:pPr>
              <w:jc w:val="right"/>
              <w:rPr>
                <w:rFonts w:ascii="Arial" w:hAnsi="Arial" w:cs="Arial"/>
                <w:sz w:val="22"/>
                <w:szCs w:val="22"/>
              </w:rPr>
            </w:pPr>
            <w:r w:rsidRPr="00541532">
              <w:rPr>
                <w:rFonts w:ascii="Arial" w:hAnsi="Arial" w:cs="Arial"/>
                <w:sz w:val="22"/>
                <w:szCs w:val="22"/>
              </w:rPr>
              <w:t>1.000</w:t>
            </w:r>
          </w:p>
        </w:tc>
      </w:tr>
      <w:tr w:rsidR="000C1EE0" w:rsidRPr="006C7D92" w:rsidTr="0077594B">
        <w:tc>
          <w:tcPr>
            <w:tcW w:w="3006" w:type="dxa"/>
            <w:tcBorders>
              <w:bottom w:val="single" w:sz="4" w:space="0" w:color="auto"/>
            </w:tcBorders>
          </w:tcPr>
          <w:p w:rsidR="000C1EE0" w:rsidRPr="006C7D92" w:rsidRDefault="000C1EE0" w:rsidP="005804A2">
            <w:pPr>
              <w:jc w:val="both"/>
              <w:rPr>
                <w:rFonts w:ascii="Arial" w:hAnsi="Arial" w:cs="Arial"/>
                <w:b/>
                <w:sz w:val="22"/>
                <w:szCs w:val="22"/>
              </w:rPr>
            </w:pPr>
            <w:r w:rsidRPr="006C7D92">
              <w:rPr>
                <w:rFonts w:ascii="Arial" w:hAnsi="Arial" w:cs="Arial"/>
                <w:b/>
                <w:sz w:val="22"/>
                <w:szCs w:val="22"/>
              </w:rPr>
              <w:t>Operational Boundary</w:t>
            </w:r>
          </w:p>
        </w:tc>
        <w:tc>
          <w:tcPr>
            <w:tcW w:w="1276" w:type="dxa"/>
            <w:tcBorders>
              <w:bottom w:val="single" w:sz="4" w:space="0" w:color="auto"/>
            </w:tcBorders>
          </w:tcPr>
          <w:p w:rsidR="000C1EE0" w:rsidRPr="00541532" w:rsidRDefault="0057295A" w:rsidP="0057295A">
            <w:pPr>
              <w:jc w:val="right"/>
              <w:rPr>
                <w:rFonts w:ascii="Arial" w:hAnsi="Arial" w:cs="Arial"/>
                <w:b/>
                <w:sz w:val="22"/>
                <w:szCs w:val="22"/>
              </w:rPr>
            </w:pPr>
            <w:r>
              <w:rPr>
                <w:rFonts w:ascii="Arial" w:hAnsi="Arial" w:cs="Arial"/>
                <w:b/>
                <w:sz w:val="22"/>
                <w:szCs w:val="22"/>
              </w:rPr>
              <w:t>300</w:t>
            </w:r>
            <w:r w:rsidR="00B33D81" w:rsidRPr="00541532">
              <w:rPr>
                <w:rFonts w:ascii="Arial" w:hAnsi="Arial" w:cs="Arial"/>
                <w:b/>
                <w:sz w:val="22"/>
                <w:szCs w:val="22"/>
              </w:rPr>
              <w:t>.</w:t>
            </w:r>
            <w:r w:rsidR="00541532" w:rsidRPr="00541532">
              <w:rPr>
                <w:rFonts w:ascii="Arial" w:hAnsi="Arial" w:cs="Arial"/>
                <w:b/>
                <w:sz w:val="22"/>
                <w:szCs w:val="22"/>
              </w:rPr>
              <w:t>653</w:t>
            </w:r>
          </w:p>
        </w:tc>
        <w:tc>
          <w:tcPr>
            <w:tcW w:w="1417" w:type="dxa"/>
            <w:tcBorders>
              <w:bottom w:val="single" w:sz="4" w:space="0" w:color="auto"/>
            </w:tcBorders>
          </w:tcPr>
          <w:p w:rsidR="000C1EE0" w:rsidRPr="00541532" w:rsidRDefault="0057295A" w:rsidP="0057295A">
            <w:pPr>
              <w:tabs>
                <w:tab w:val="right" w:pos="702"/>
              </w:tabs>
              <w:jc w:val="right"/>
              <w:rPr>
                <w:rFonts w:ascii="Arial" w:hAnsi="Arial" w:cs="Arial"/>
                <w:b/>
                <w:sz w:val="22"/>
                <w:szCs w:val="22"/>
              </w:rPr>
            </w:pPr>
            <w:r>
              <w:rPr>
                <w:rFonts w:ascii="Arial" w:hAnsi="Arial" w:cs="Arial"/>
                <w:b/>
                <w:sz w:val="22"/>
                <w:szCs w:val="22"/>
              </w:rPr>
              <w:t>310</w:t>
            </w:r>
            <w:r w:rsidR="00B33D81" w:rsidRPr="00541532">
              <w:rPr>
                <w:rFonts w:ascii="Arial" w:hAnsi="Arial" w:cs="Arial"/>
                <w:b/>
                <w:sz w:val="22"/>
                <w:szCs w:val="22"/>
              </w:rPr>
              <w:t>.</w:t>
            </w:r>
            <w:r w:rsidR="00541532" w:rsidRPr="00541532">
              <w:rPr>
                <w:rFonts w:ascii="Arial" w:hAnsi="Arial" w:cs="Arial"/>
                <w:b/>
                <w:sz w:val="22"/>
                <w:szCs w:val="22"/>
              </w:rPr>
              <w:t>498</w:t>
            </w:r>
          </w:p>
        </w:tc>
        <w:tc>
          <w:tcPr>
            <w:tcW w:w="1418" w:type="dxa"/>
            <w:tcBorders>
              <w:bottom w:val="single" w:sz="4" w:space="0" w:color="auto"/>
            </w:tcBorders>
          </w:tcPr>
          <w:p w:rsidR="000C1EE0" w:rsidRPr="00541532" w:rsidRDefault="0057295A" w:rsidP="0057295A">
            <w:pPr>
              <w:jc w:val="right"/>
              <w:rPr>
                <w:rFonts w:ascii="Arial" w:hAnsi="Arial" w:cs="Arial"/>
                <w:b/>
                <w:sz w:val="22"/>
                <w:szCs w:val="22"/>
              </w:rPr>
            </w:pPr>
            <w:r>
              <w:rPr>
                <w:rFonts w:ascii="Arial" w:hAnsi="Arial" w:cs="Arial"/>
                <w:b/>
                <w:sz w:val="22"/>
                <w:szCs w:val="22"/>
              </w:rPr>
              <w:t>309</w:t>
            </w:r>
            <w:r w:rsidR="00B33D81" w:rsidRPr="00541532">
              <w:rPr>
                <w:rFonts w:ascii="Arial" w:hAnsi="Arial" w:cs="Arial"/>
                <w:b/>
                <w:sz w:val="22"/>
                <w:szCs w:val="22"/>
              </w:rPr>
              <w:t>.</w:t>
            </w:r>
            <w:r w:rsidR="00541532" w:rsidRPr="00541532">
              <w:rPr>
                <w:rFonts w:ascii="Arial" w:hAnsi="Arial" w:cs="Arial"/>
                <w:b/>
                <w:sz w:val="22"/>
                <w:szCs w:val="22"/>
              </w:rPr>
              <w:t>358</w:t>
            </w:r>
          </w:p>
        </w:tc>
        <w:tc>
          <w:tcPr>
            <w:tcW w:w="1343" w:type="dxa"/>
            <w:tcBorders>
              <w:bottom w:val="single" w:sz="4" w:space="0" w:color="auto"/>
            </w:tcBorders>
          </w:tcPr>
          <w:p w:rsidR="000C1EE0" w:rsidRPr="00541532" w:rsidRDefault="0057295A" w:rsidP="0057295A">
            <w:pPr>
              <w:jc w:val="right"/>
              <w:rPr>
                <w:rFonts w:ascii="Arial" w:hAnsi="Arial" w:cs="Arial"/>
                <w:b/>
                <w:sz w:val="22"/>
                <w:szCs w:val="22"/>
              </w:rPr>
            </w:pPr>
            <w:r>
              <w:rPr>
                <w:rFonts w:ascii="Arial" w:hAnsi="Arial" w:cs="Arial"/>
                <w:b/>
                <w:sz w:val="22"/>
                <w:szCs w:val="22"/>
              </w:rPr>
              <w:t>308</w:t>
            </w:r>
            <w:r w:rsidR="00B33D81" w:rsidRPr="00541532">
              <w:rPr>
                <w:rFonts w:ascii="Arial" w:hAnsi="Arial" w:cs="Arial"/>
                <w:b/>
                <w:sz w:val="22"/>
                <w:szCs w:val="22"/>
              </w:rPr>
              <w:t>.</w:t>
            </w:r>
            <w:r w:rsidR="00541532" w:rsidRPr="00541532">
              <w:rPr>
                <w:rFonts w:ascii="Arial" w:hAnsi="Arial" w:cs="Arial"/>
                <w:b/>
                <w:sz w:val="22"/>
                <w:szCs w:val="22"/>
              </w:rPr>
              <w:t>232</w:t>
            </w:r>
          </w:p>
        </w:tc>
      </w:tr>
    </w:tbl>
    <w:p w:rsidR="00AB23E3" w:rsidRDefault="00AB23E3" w:rsidP="005804A2">
      <w:pPr>
        <w:pStyle w:val="BodyText"/>
        <w:spacing w:after="0"/>
        <w:rPr>
          <w:rFonts w:ascii="Arial" w:hAnsi="Arial" w:cs="Arial"/>
          <w:b/>
          <w:szCs w:val="22"/>
        </w:rPr>
      </w:pPr>
      <w:r w:rsidRPr="00AB23E3">
        <w:rPr>
          <w:rFonts w:ascii="Arial" w:hAnsi="Arial" w:cs="Arial"/>
          <w:b/>
          <w:szCs w:val="22"/>
        </w:rPr>
        <w:lastRenderedPageBreak/>
        <w:t>The Aut</w:t>
      </w:r>
      <w:r w:rsidR="00956E51">
        <w:rPr>
          <w:rFonts w:ascii="Arial" w:hAnsi="Arial" w:cs="Arial"/>
          <w:b/>
          <w:szCs w:val="22"/>
        </w:rPr>
        <w:t>horised Limit for external debt</w:t>
      </w:r>
    </w:p>
    <w:p w:rsidR="00956E51" w:rsidRPr="00AB23E3" w:rsidRDefault="00956E51" w:rsidP="005804A2">
      <w:pPr>
        <w:pStyle w:val="BodyText"/>
        <w:spacing w:after="0"/>
        <w:rPr>
          <w:rFonts w:ascii="Arial" w:hAnsi="Arial" w:cs="Arial"/>
          <w:b/>
          <w:szCs w:val="22"/>
        </w:rPr>
      </w:pPr>
    </w:p>
    <w:p w:rsidR="00AB23E3" w:rsidRDefault="00C01EA5" w:rsidP="005804A2">
      <w:pPr>
        <w:numPr>
          <w:ilvl w:val="0"/>
          <w:numId w:val="1"/>
        </w:numPr>
        <w:rPr>
          <w:rFonts w:ascii="Arial" w:hAnsi="Arial" w:cs="Arial"/>
          <w:szCs w:val="22"/>
        </w:rPr>
      </w:pPr>
      <w:r>
        <w:rPr>
          <w:rFonts w:ascii="Arial" w:hAnsi="Arial" w:cs="Arial"/>
          <w:szCs w:val="22"/>
        </w:rPr>
        <w:t xml:space="preserve">This is a </w:t>
      </w:r>
      <w:r w:rsidR="00AB23E3" w:rsidRPr="00AB23E3">
        <w:rPr>
          <w:rFonts w:ascii="Arial" w:hAnsi="Arial" w:cs="Arial"/>
          <w:szCs w:val="22"/>
        </w:rPr>
        <w:t>key prudential indicator</w:t>
      </w:r>
      <w:r>
        <w:rPr>
          <w:rFonts w:ascii="Arial" w:hAnsi="Arial" w:cs="Arial"/>
          <w:szCs w:val="22"/>
        </w:rPr>
        <w:t xml:space="preserve"> and</w:t>
      </w:r>
      <w:r w:rsidR="00AB23E3" w:rsidRPr="00AB23E3">
        <w:rPr>
          <w:rFonts w:ascii="Arial" w:hAnsi="Arial" w:cs="Arial"/>
          <w:szCs w:val="22"/>
        </w:rPr>
        <w:t xml:space="preserve"> represents a control on the maximum level of </w:t>
      </w:r>
      <w:r>
        <w:rPr>
          <w:rFonts w:ascii="Arial" w:hAnsi="Arial" w:cs="Arial"/>
          <w:szCs w:val="22"/>
        </w:rPr>
        <w:t>borrowing</w:t>
      </w:r>
      <w:r w:rsidR="00AB23E3" w:rsidRPr="00AB23E3">
        <w:rPr>
          <w:rFonts w:ascii="Arial" w:hAnsi="Arial" w:cs="Arial"/>
          <w:szCs w:val="22"/>
        </w:rPr>
        <w:t xml:space="preserve">. This represents a </w:t>
      </w:r>
      <w:r>
        <w:rPr>
          <w:rFonts w:ascii="Arial" w:hAnsi="Arial" w:cs="Arial"/>
          <w:szCs w:val="22"/>
        </w:rPr>
        <w:t xml:space="preserve">legal </w:t>
      </w:r>
      <w:r w:rsidR="00AB23E3" w:rsidRPr="00AB23E3">
        <w:rPr>
          <w:rFonts w:ascii="Arial" w:hAnsi="Arial" w:cs="Arial"/>
          <w:szCs w:val="22"/>
        </w:rPr>
        <w:t>limit beyond which external debt is prohibited, and this limit needs to be set or revised by full Council.  It reflects the level of external debt which, while not desired, could be afforded in the short term, but is not sustainable in the longer term</w:t>
      </w:r>
      <w:r w:rsidR="00251B9C">
        <w:rPr>
          <w:rFonts w:ascii="Arial" w:hAnsi="Arial" w:cs="Arial"/>
          <w:szCs w:val="22"/>
        </w:rPr>
        <w:t>:</w:t>
      </w:r>
    </w:p>
    <w:p w:rsidR="00251B9C" w:rsidRPr="00AB23E3" w:rsidRDefault="00251B9C" w:rsidP="005804A2">
      <w:pPr>
        <w:ind w:left="454"/>
        <w:rPr>
          <w:rFonts w:ascii="Arial" w:hAnsi="Arial" w:cs="Arial"/>
          <w:szCs w:val="22"/>
        </w:rPr>
      </w:pPr>
    </w:p>
    <w:p w:rsidR="00D465D6" w:rsidRDefault="00AB23E3" w:rsidP="005804A2">
      <w:pPr>
        <w:numPr>
          <w:ilvl w:val="0"/>
          <w:numId w:val="1"/>
        </w:numPr>
        <w:rPr>
          <w:rFonts w:ascii="Arial" w:hAnsi="Arial" w:cs="Arial"/>
          <w:szCs w:val="22"/>
        </w:rPr>
      </w:pPr>
      <w:r w:rsidRPr="00D465D6">
        <w:rPr>
          <w:rFonts w:ascii="Arial" w:hAnsi="Arial" w:cs="Arial"/>
          <w:szCs w:val="22"/>
        </w:rPr>
        <w:t>This is the statutory limit determined under section 3 (1) of the Local Government Act 2003. The Government retains an option to control either the total of all councils’ plans, or those of a specific council, although this power has not yet been exercised.</w:t>
      </w:r>
    </w:p>
    <w:p w:rsidR="00B33D81" w:rsidRDefault="00B33D81" w:rsidP="00B33D81">
      <w:pPr>
        <w:ind w:left="567"/>
        <w:rPr>
          <w:rFonts w:ascii="Arial" w:hAnsi="Arial" w:cs="Arial"/>
          <w:szCs w:val="22"/>
        </w:rPr>
      </w:pPr>
    </w:p>
    <w:p w:rsidR="00AB23E3" w:rsidRPr="00D465D6" w:rsidRDefault="00AB23E3" w:rsidP="005804A2">
      <w:pPr>
        <w:numPr>
          <w:ilvl w:val="0"/>
          <w:numId w:val="1"/>
        </w:numPr>
        <w:rPr>
          <w:rFonts w:ascii="Arial" w:hAnsi="Arial" w:cs="Arial"/>
          <w:szCs w:val="22"/>
        </w:rPr>
      </w:pPr>
      <w:r w:rsidRPr="00D465D6">
        <w:rPr>
          <w:rFonts w:ascii="Arial" w:hAnsi="Arial" w:cs="Arial"/>
          <w:szCs w:val="22"/>
        </w:rPr>
        <w:t>The Council is asked to approve the following Authorised Limit:</w:t>
      </w:r>
    </w:p>
    <w:p w:rsidR="005804A2" w:rsidRDefault="005804A2" w:rsidP="005804A2">
      <w:pPr>
        <w:rPr>
          <w:rFonts w:ascii="Arial" w:hAnsi="Arial" w:cs="Arial"/>
          <w:szCs w:val="22"/>
        </w:rPr>
      </w:pPr>
    </w:p>
    <w:p w:rsidR="00AB23E3" w:rsidRPr="00D465D6" w:rsidRDefault="007B6896" w:rsidP="005804A2">
      <w:pPr>
        <w:rPr>
          <w:rFonts w:ascii="Arial" w:hAnsi="Arial" w:cs="Arial"/>
          <w:b/>
          <w:szCs w:val="24"/>
        </w:rPr>
      </w:pPr>
      <w:r w:rsidRPr="00D465D6">
        <w:rPr>
          <w:rFonts w:ascii="Arial" w:hAnsi="Arial" w:cs="Arial"/>
          <w:b/>
          <w:szCs w:val="24"/>
        </w:rPr>
        <w:t xml:space="preserve">Table </w:t>
      </w:r>
      <w:r w:rsidR="00BC3DA3">
        <w:rPr>
          <w:rFonts w:ascii="Arial" w:hAnsi="Arial" w:cs="Arial"/>
          <w:b/>
          <w:szCs w:val="24"/>
        </w:rPr>
        <w:t>9</w:t>
      </w:r>
      <w:r w:rsidR="00AB23E3" w:rsidRPr="00D465D6">
        <w:rPr>
          <w:rFonts w:ascii="Arial" w:hAnsi="Arial" w:cs="Arial"/>
          <w:b/>
          <w:szCs w:val="24"/>
        </w:rPr>
        <w:t xml:space="preserve"> – Authorised Limit</w:t>
      </w:r>
    </w:p>
    <w:p w:rsidR="00251B9C" w:rsidRPr="00AB23E3" w:rsidRDefault="00251B9C" w:rsidP="005804A2">
      <w:pPr>
        <w:ind w:left="454"/>
        <w:rPr>
          <w:rFonts w:ascii="Arial" w:hAnsi="Arial" w:cs="Arial"/>
          <w:b/>
          <w:sz w:val="22"/>
          <w:szCs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1418"/>
        <w:gridCol w:w="1417"/>
        <w:gridCol w:w="1418"/>
        <w:gridCol w:w="1343"/>
      </w:tblGrid>
      <w:tr w:rsidR="000C1EE0" w:rsidRPr="00AB23E3" w:rsidTr="0077594B">
        <w:trPr>
          <w:trHeight w:val="794"/>
        </w:trPr>
        <w:tc>
          <w:tcPr>
            <w:tcW w:w="2864" w:type="dxa"/>
            <w:shd w:val="clear" w:color="auto" w:fill="D9D9D9"/>
          </w:tcPr>
          <w:p w:rsidR="000C1EE0" w:rsidRPr="00AB23E3" w:rsidRDefault="000C1EE0" w:rsidP="005804A2">
            <w:pPr>
              <w:jc w:val="both"/>
              <w:rPr>
                <w:rFonts w:ascii="Arial" w:hAnsi="Arial" w:cs="Arial"/>
                <w:sz w:val="22"/>
                <w:szCs w:val="22"/>
              </w:rPr>
            </w:pPr>
          </w:p>
        </w:tc>
        <w:tc>
          <w:tcPr>
            <w:tcW w:w="1418" w:type="dxa"/>
            <w:shd w:val="clear" w:color="auto" w:fill="D9D9D9"/>
          </w:tcPr>
          <w:p w:rsidR="00F45AC7" w:rsidRDefault="000C1EE0" w:rsidP="000C1EE0">
            <w:pPr>
              <w:pStyle w:val="BodyText"/>
              <w:spacing w:after="0"/>
              <w:jc w:val="center"/>
              <w:rPr>
                <w:rFonts w:ascii="Arial" w:hAnsi="Arial" w:cs="Arial"/>
                <w:b/>
                <w:bCs/>
                <w:sz w:val="22"/>
                <w:szCs w:val="22"/>
              </w:rPr>
            </w:pPr>
            <w:r>
              <w:rPr>
                <w:rFonts w:ascii="Arial" w:hAnsi="Arial" w:cs="Arial"/>
                <w:b/>
                <w:bCs/>
                <w:sz w:val="22"/>
                <w:szCs w:val="22"/>
              </w:rPr>
              <w:t>201</w:t>
            </w:r>
            <w:r w:rsidR="00C01EA5">
              <w:rPr>
                <w:rFonts w:ascii="Arial" w:hAnsi="Arial" w:cs="Arial"/>
                <w:b/>
                <w:bCs/>
                <w:sz w:val="22"/>
                <w:szCs w:val="22"/>
              </w:rPr>
              <w:t xml:space="preserve">8/19 </w:t>
            </w:r>
            <w:r w:rsidR="00F45AC7">
              <w:rPr>
                <w:rFonts w:ascii="Arial" w:hAnsi="Arial" w:cs="Arial"/>
                <w:b/>
                <w:bCs/>
                <w:sz w:val="22"/>
                <w:szCs w:val="22"/>
              </w:rPr>
              <w:t>Revised</w:t>
            </w:r>
          </w:p>
          <w:p w:rsidR="000C1EE0" w:rsidRDefault="000C1EE0" w:rsidP="000C1EE0">
            <w:pPr>
              <w:pStyle w:val="BodyText"/>
              <w:spacing w:after="0"/>
              <w:jc w:val="center"/>
              <w:rPr>
                <w:rFonts w:ascii="Arial" w:hAnsi="Arial" w:cs="Arial"/>
                <w:b/>
                <w:bCs/>
                <w:sz w:val="22"/>
                <w:szCs w:val="22"/>
              </w:rPr>
            </w:pPr>
            <w:r>
              <w:rPr>
                <w:rFonts w:ascii="Arial" w:hAnsi="Arial" w:cs="Arial"/>
                <w:b/>
                <w:bCs/>
                <w:sz w:val="22"/>
                <w:szCs w:val="22"/>
              </w:rPr>
              <w:t>£</w:t>
            </w:r>
            <w:r w:rsidR="00C01EA5">
              <w:rPr>
                <w:rFonts w:ascii="Arial" w:hAnsi="Arial" w:cs="Arial"/>
                <w:b/>
                <w:bCs/>
                <w:sz w:val="22"/>
                <w:szCs w:val="22"/>
              </w:rPr>
              <w:t>m</w:t>
            </w:r>
          </w:p>
          <w:p w:rsidR="00AB233C" w:rsidRPr="00330F7B" w:rsidRDefault="00AB233C" w:rsidP="000C1EE0">
            <w:pPr>
              <w:pStyle w:val="BodyText"/>
              <w:spacing w:after="0"/>
              <w:jc w:val="center"/>
              <w:rPr>
                <w:rFonts w:ascii="Arial" w:hAnsi="Arial" w:cs="Arial"/>
                <w:b/>
                <w:bCs/>
                <w:sz w:val="22"/>
                <w:szCs w:val="22"/>
              </w:rPr>
            </w:pPr>
          </w:p>
        </w:tc>
        <w:tc>
          <w:tcPr>
            <w:tcW w:w="1417" w:type="dxa"/>
            <w:shd w:val="clear" w:color="auto" w:fill="D9D9D9"/>
          </w:tcPr>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201</w:t>
            </w:r>
            <w:r w:rsidR="00C01EA5">
              <w:rPr>
                <w:rFonts w:ascii="Arial" w:hAnsi="Arial" w:cs="Arial"/>
                <w:b/>
                <w:bCs/>
                <w:sz w:val="22"/>
                <w:szCs w:val="22"/>
              </w:rPr>
              <w:t>9</w:t>
            </w:r>
            <w:r>
              <w:rPr>
                <w:rFonts w:ascii="Arial" w:hAnsi="Arial" w:cs="Arial"/>
                <w:b/>
                <w:bCs/>
                <w:sz w:val="22"/>
                <w:szCs w:val="22"/>
              </w:rPr>
              <w:t>/</w:t>
            </w:r>
            <w:r w:rsidR="00C01EA5">
              <w:rPr>
                <w:rFonts w:ascii="Arial" w:hAnsi="Arial" w:cs="Arial"/>
                <w:b/>
                <w:bCs/>
                <w:sz w:val="22"/>
                <w:szCs w:val="22"/>
              </w:rPr>
              <w:t>20</w:t>
            </w:r>
          </w:p>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Estimate £</w:t>
            </w:r>
            <w:r w:rsidR="00C01EA5">
              <w:rPr>
                <w:rFonts w:ascii="Arial" w:hAnsi="Arial" w:cs="Arial"/>
                <w:b/>
                <w:bCs/>
                <w:sz w:val="22"/>
                <w:szCs w:val="22"/>
              </w:rPr>
              <w:t>m</w:t>
            </w:r>
          </w:p>
        </w:tc>
        <w:tc>
          <w:tcPr>
            <w:tcW w:w="1418" w:type="dxa"/>
            <w:shd w:val="clear" w:color="auto" w:fill="D9D9D9"/>
          </w:tcPr>
          <w:p w:rsidR="000C1EE0" w:rsidRDefault="000C1EE0" w:rsidP="000C1EE0">
            <w:pPr>
              <w:pStyle w:val="BodyText"/>
              <w:spacing w:after="0"/>
              <w:jc w:val="center"/>
              <w:rPr>
                <w:rFonts w:ascii="Arial" w:hAnsi="Arial" w:cs="Arial"/>
                <w:b/>
                <w:bCs/>
                <w:sz w:val="22"/>
                <w:szCs w:val="22"/>
              </w:rPr>
            </w:pPr>
            <w:r>
              <w:rPr>
                <w:rFonts w:ascii="Arial" w:hAnsi="Arial" w:cs="Arial"/>
                <w:b/>
                <w:bCs/>
                <w:sz w:val="22"/>
                <w:szCs w:val="22"/>
              </w:rPr>
              <w:t>20</w:t>
            </w:r>
            <w:r w:rsidR="00C01EA5">
              <w:rPr>
                <w:rFonts w:ascii="Arial" w:hAnsi="Arial" w:cs="Arial"/>
                <w:b/>
                <w:bCs/>
                <w:sz w:val="22"/>
                <w:szCs w:val="22"/>
              </w:rPr>
              <w:t>20</w:t>
            </w:r>
            <w:r>
              <w:rPr>
                <w:rFonts w:ascii="Arial" w:hAnsi="Arial" w:cs="Arial"/>
                <w:b/>
                <w:bCs/>
                <w:sz w:val="22"/>
                <w:szCs w:val="22"/>
              </w:rPr>
              <w:t>/2</w:t>
            </w:r>
            <w:r w:rsidR="00C01EA5">
              <w:rPr>
                <w:rFonts w:ascii="Arial" w:hAnsi="Arial" w:cs="Arial"/>
                <w:b/>
                <w:bCs/>
                <w:sz w:val="22"/>
                <w:szCs w:val="22"/>
              </w:rPr>
              <w:t>1</w:t>
            </w:r>
          </w:p>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Estimate £</w:t>
            </w:r>
            <w:r w:rsidR="00C01EA5">
              <w:rPr>
                <w:rFonts w:ascii="Arial" w:hAnsi="Arial" w:cs="Arial"/>
                <w:b/>
                <w:bCs/>
                <w:sz w:val="22"/>
                <w:szCs w:val="22"/>
              </w:rPr>
              <w:t>m</w:t>
            </w:r>
          </w:p>
        </w:tc>
        <w:tc>
          <w:tcPr>
            <w:tcW w:w="1343" w:type="dxa"/>
            <w:shd w:val="clear" w:color="auto" w:fill="D9D9D9"/>
          </w:tcPr>
          <w:p w:rsidR="00F45AC7" w:rsidRPr="00330F7B" w:rsidRDefault="00F45AC7" w:rsidP="00F45AC7">
            <w:pPr>
              <w:pStyle w:val="BodyText"/>
              <w:spacing w:after="0"/>
              <w:jc w:val="center"/>
              <w:rPr>
                <w:rFonts w:ascii="Arial" w:hAnsi="Arial" w:cs="Arial"/>
                <w:b/>
                <w:bCs/>
                <w:sz w:val="22"/>
                <w:szCs w:val="22"/>
              </w:rPr>
            </w:pPr>
            <w:r>
              <w:rPr>
                <w:rFonts w:ascii="Arial" w:hAnsi="Arial" w:cs="Arial"/>
                <w:b/>
                <w:bCs/>
                <w:sz w:val="22"/>
                <w:szCs w:val="22"/>
              </w:rPr>
              <w:t>202</w:t>
            </w:r>
            <w:r w:rsidR="00C01EA5">
              <w:rPr>
                <w:rFonts w:ascii="Arial" w:hAnsi="Arial" w:cs="Arial"/>
                <w:b/>
                <w:bCs/>
                <w:sz w:val="22"/>
                <w:szCs w:val="22"/>
              </w:rPr>
              <w:t>1</w:t>
            </w:r>
            <w:r>
              <w:rPr>
                <w:rFonts w:ascii="Arial" w:hAnsi="Arial" w:cs="Arial"/>
                <w:b/>
                <w:bCs/>
                <w:sz w:val="22"/>
                <w:szCs w:val="22"/>
              </w:rPr>
              <w:t>/2</w:t>
            </w:r>
            <w:r w:rsidR="00C01EA5">
              <w:rPr>
                <w:rFonts w:ascii="Arial" w:hAnsi="Arial" w:cs="Arial"/>
                <w:b/>
                <w:bCs/>
                <w:sz w:val="22"/>
                <w:szCs w:val="22"/>
              </w:rPr>
              <w:t>2</w:t>
            </w:r>
          </w:p>
          <w:p w:rsidR="000C1EE0" w:rsidRPr="00330F7B" w:rsidRDefault="00C01EA5" w:rsidP="00C01EA5">
            <w:pPr>
              <w:pStyle w:val="BodyText"/>
              <w:spacing w:after="0"/>
              <w:jc w:val="center"/>
              <w:rPr>
                <w:rFonts w:ascii="Arial" w:hAnsi="Arial" w:cs="Arial"/>
                <w:b/>
                <w:bCs/>
                <w:sz w:val="22"/>
                <w:szCs w:val="22"/>
              </w:rPr>
            </w:pPr>
            <w:r>
              <w:rPr>
                <w:rFonts w:ascii="Arial" w:hAnsi="Arial" w:cs="Arial"/>
                <w:b/>
                <w:bCs/>
                <w:sz w:val="22"/>
                <w:szCs w:val="22"/>
              </w:rPr>
              <w:t>Estimate £m</w:t>
            </w:r>
          </w:p>
        </w:tc>
      </w:tr>
      <w:tr w:rsidR="000C1EE0" w:rsidRPr="00AB23E3" w:rsidTr="0077594B">
        <w:tc>
          <w:tcPr>
            <w:tcW w:w="2864" w:type="dxa"/>
          </w:tcPr>
          <w:p w:rsidR="000C1EE0" w:rsidRPr="00AB23E3" w:rsidRDefault="000C1EE0" w:rsidP="005804A2">
            <w:pPr>
              <w:jc w:val="both"/>
              <w:rPr>
                <w:rFonts w:ascii="Arial" w:hAnsi="Arial" w:cs="Arial"/>
                <w:sz w:val="22"/>
                <w:szCs w:val="22"/>
              </w:rPr>
            </w:pPr>
            <w:r w:rsidRPr="00AB23E3">
              <w:rPr>
                <w:rFonts w:ascii="Arial" w:hAnsi="Arial" w:cs="Arial"/>
                <w:sz w:val="22"/>
                <w:szCs w:val="22"/>
              </w:rPr>
              <w:t>Operational Boundary</w:t>
            </w:r>
          </w:p>
        </w:tc>
        <w:tc>
          <w:tcPr>
            <w:tcW w:w="1418" w:type="dxa"/>
            <w:vAlign w:val="center"/>
          </w:tcPr>
          <w:p w:rsidR="000C1EE0" w:rsidRPr="002823F5" w:rsidRDefault="005E6C3A" w:rsidP="005E6C3A">
            <w:pPr>
              <w:jc w:val="right"/>
              <w:rPr>
                <w:rFonts w:ascii="Arial" w:hAnsi="Arial" w:cs="Arial"/>
                <w:sz w:val="22"/>
                <w:szCs w:val="22"/>
              </w:rPr>
            </w:pPr>
            <w:r>
              <w:rPr>
                <w:rFonts w:ascii="Arial" w:hAnsi="Arial" w:cs="Arial"/>
                <w:sz w:val="22"/>
                <w:szCs w:val="22"/>
              </w:rPr>
              <w:t>300</w:t>
            </w:r>
            <w:r w:rsidR="00541532" w:rsidRPr="002823F5">
              <w:rPr>
                <w:rFonts w:ascii="Arial" w:hAnsi="Arial" w:cs="Arial"/>
                <w:sz w:val="22"/>
                <w:szCs w:val="22"/>
              </w:rPr>
              <w:t>.</w:t>
            </w:r>
            <w:r w:rsidR="002823F5" w:rsidRPr="002823F5">
              <w:rPr>
                <w:rFonts w:ascii="Arial" w:hAnsi="Arial" w:cs="Arial"/>
                <w:sz w:val="22"/>
                <w:szCs w:val="22"/>
              </w:rPr>
              <w:t>653</w:t>
            </w:r>
          </w:p>
        </w:tc>
        <w:tc>
          <w:tcPr>
            <w:tcW w:w="1417" w:type="dxa"/>
            <w:vAlign w:val="center"/>
          </w:tcPr>
          <w:p w:rsidR="000C1EE0" w:rsidRPr="002823F5" w:rsidRDefault="005E6C3A" w:rsidP="005E6C3A">
            <w:pPr>
              <w:tabs>
                <w:tab w:val="right" w:pos="702"/>
              </w:tabs>
              <w:jc w:val="right"/>
              <w:rPr>
                <w:rFonts w:ascii="Arial" w:hAnsi="Arial" w:cs="Arial"/>
                <w:sz w:val="22"/>
                <w:szCs w:val="22"/>
              </w:rPr>
            </w:pPr>
            <w:r>
              <w:rPr>
                <w:rFonts w:ascii="Arial" w:hAnsi="Arial" w:cs="Arial"/>
                <w:sz w:val="22"/>
                <w:szCs w:val="22"/>
              </w:rPr>
              <w:t>310</w:t>
            </w:r>
            <w:r w:rsidR="002823F5" w:rsidRPr="002823F5">
              <w:rPr>
                <w:rFonts w:ascii="Arial" w:hAnsi="Arial" w:cs="Arial"/>
                <w:sz w:val="22"/>
                <w:szCs w:val="22"/>
              </w:rPr>
              <w:t>.498</w:t>
            </w:r>
          </w:p>
        </w:tc>
        <w:tc>
          <w:tcPr>
            <w:tcW w:w="1418" w:type="dxa"/>
            <w:vAlign w:val="center"/>
          </w:tcPr>
          <w:p w:rsidR="000C1EE0" w:rsidRPr="002823F5" w:rsidRDefault="005E6C3A" w:rsidP="005E6C3A">
            <w:pPr>
              <w:jc w:val="right"/>
              <w:rPr>
                <w:rFonts w:ascii="Arial" w:hAnsi="Arial" w:cs="Arial"/>
                <w:sz w:val="22"/>
                <w:szCs w:val="22"/>
              </w:rPr>
            </w:pPr>
            <w:r>
              <w:rPr>
                <w:rFonts w:ascii="Arial" w:hAnsi="Arial" w:cs="Arial"/>
                <w:sz w:val="22"/>
                <w:szCs w:val="22"/>
              </w:rPr>
              <w:t>309</w:t>
            </w:r>
            <w:r w:rsidR="00B33D81" w:rsidRPr="002823F5">
              <w:rPr>
                <w:rFonts w:ascii="Arial" w:hAnsi="Arial" w:cs="Arial"/>
                <w:sz w:val="22"/>
                <w:szCs w:val="22"/>
              </w:rPr>
              <w:t>.</w:t>
            </w:r>
            <w:r w:rsidR="002823F5" w:rsidRPr="002823F5">
              <w:rPr>
                <w:rFonts w:ascii="Arial" w:hAnsi="Arial" w:cs="Arial"/>
                <w:sz w:val="22"/>
                <w:szCs w:val="22"/>
              </w:rPr>
              <w:t>358</w:t>
            </w:r>
          </w:p>
        </w:tc>
        <w:tc>
          <w:tcPr>
            <w:tcW w:w="1343" w:type="dxa"/>
            <w:vAlign w:val="center"/>
          </w:tcPr>
          <w:p w:rsidR="000C1EE0" w:rsidRPr="002823F5" w:rsidRDefault="005E6C3A" w:rsidP="005E6C3A">
            <w:pPr>
              <w:jc w:val="right"/>
              <w:rPr>
                <w:rFonts w:ascii="Arial" w:hAnsi="Arial" w:cs="Arial"/>
                <w:sz w:val="22"/>
                <w:szCs w:val="22"/>
              </w:rPr>
            </w:pPr>
            <w:r>
              <w:rPr>
                <w:rFonts w:ascii="Arial" w:hAnsi="Arial" w:cs="Arial"/>
                <w:sz w:val="22"/>
                <w:szCs w:val="22"/>
              </w:rPr>
              <w:t>308</w:t>
            </w:r>
            <w:r w:rsidR="00B33D81" w:rsidRPr="002823F5">
              <w:rPr>
                <w:rFonts w:ascii="Arial" w:hAnsi="Arial" w:cs="Arial"/>
                <w:sz w:val="22"/>
                <w:szCs w:val="22"/>
              </w:rPr>
              <w:t>.</w:t>
            </w:r>
            <w:r w:rsidR="002823F5" w:rsidRPr="002823F5">
              <w:rPr>
                <w:rFonts w:ascii="Arial" w:hAnsi="Arial" w:cs="Arial"/>
                <w:sz w:val="22"/>
                <w:szCs w:val="22"/>
              </w:rPr>
              <w:t>232</w:t>
            </w:r>
          </w:p>
        </w:tc>
      </w:tr>
      <w:tr w:rsidR="000C1EE0" w:rsidRPr="00AB23E3" w:rsidTr="0077594B">
        <w:tc>
          <w:tcPr>
            <w:tcW w:w="2864" w:type="dxa"/>
          </w:tcPr>
          <w:p w:rsidR="000C1EE0" w:rsidRPr="00AB23E3" w:rsidRDefault="000C1EE0" w:rsidP="005804A2">
            <w:pPr>
              <w:rPr>
                <w:rFonts w:ascii="Arial" w:hAnsi="Arial" w:cs="Arial"/>
                <w:sz w:val="22"/>
                <w:szCs w:val="22"/>
              </w:rPr>
            </w:pPr>
            <w:r w:rsidRPr="00AB23E3">
              <w:rPr>
                <w:rFonts w:ascii="Arial" w:hAnsi="Arial" w:cs="Arial"/>
                <w:sz w:val="22"/>
                <w:szCs w:val="22"/>
              </w:rPr>
              <w:t xml:space="preserve">Additional Headroom </w:t>
            </w:r>
            <w:r>
              <w:rPr>
                <w:rFonts w:ascii="Arial" w:hAnsi="Arial" w:cs="Arial"/>
                <w:sz w:val="22"/>
                <w:szCs w:val="22"/>
              </w:rPr>
              <w:t xml:space="preserve"> 5%</w:t>
            </w:r>
          </w:p>
        </w:tc>
        <w:tc>
          <w:tcPr>
            <w:tcW w:w="1418" w:type="dxa"/>
            <w:vAlign w:val="center"/>
          </w:tcPr>
          <w:p w:rsidR="000C1EE0" w:rsidRPr="002823F5" w:rsidRDefault="00B33D81" w:rsidP="005E6C3A">
            <w:pPr>
              <w:jc w:val="right"/>
              <w:rPr>
                <w:rFonts w:ascii="Arial" w:hAnsi="Arial" w:cs="Arial"/>
                <w:sz w:val="22"/>
                <w:szCs w:val="22"/>
              </w:rPr>
            </w:pPr>
            <w:r w:rsidRPr="002823F5">
              <w:rPr>
                <w:rFonts w:ascii="Arial" w:hAnsi="Arial" w:cs="Arial"/>
                <w:sz w:val="22"/>
                <w:szCs w:val="22"/>
              </w:rPr>
              <w:t>1</w:t>
            </w:r>
            <w:r w:rsidR="005E6C3A">
              <w:rPr>
                <w:rFonts w:ascii="Arial" w:hAnsi="Arial" w:cs="Arial"/>
                <w:sz w:val="22"/>
                <w:szCs w:val="22"/>
              </w:rPr>
              <w:t>5</w:t>
            </w:r>
            <w:r w:rsidRPr="002823F5">
              <w:rPr>
                <w:rFonts w:ascii="Arial" w:hAnsi="Arial" w:cs="Arial"/>
                <w:sz w:val="22"/>
                <w:szCs w:val="22"/>
              </w:rPr>
              <w:t>.</w:t>
            </w:r>
            <w:r w:rsidR="005E6C3A">
              <w:rPr>
                <w:rFonts w:ascii="Arial" w:hAnsi="Arial" w:cs="Arial"/>
                <w:sz w:val="22"/>
                <w:szCs w:val="22"/>
              </w:rPr>
              <w:t>0</w:t>
            </w:r>
            <w:r w:rsidR="002823F5" w:rsidRPr="002823F5">
              <w:rPr>
                <w:rFonts w:ascii="Arial" w:hAnsi="Arial" w:cs="Arial"/>
                <w:sz w:val="22"/>
                <w:szCs w:val="22"/>
              </w:rPr>
              <w:t>33</w:t>
            </w:r>
          </w:p>
        </w:tc>
        <w:tc>
          <w:tcPr>
            <w:tcW w:w="1417" w:type="dxa"/>
            <w:vAlign w:val="center"/>
          </w:tcPr>
          <w:p w:rsidR="000C1EE0" w:rsidRPr="002823F5" w:rsidRDefault="00B33D81" w:rsidP="005E6C3A">
            <w:pPr>
              <w:tabs>
                <w:tab w:val="right" w:pos="702"/>
              </w:tabs>
              <w:jc w:val="right"/>
              <w:rPr>
                <w:rFonts w:ascii="Arial" w:hAnsi="Arial" w:cs="Arial"/>
                <w:sz w:val="22"/>
                <w:szCs w:val="22"/>
              </w:rPr>
            </w:pPr>
            <w:r w:rsidRPr="002823F5">
              <w:rPr>
                <w:rFonts w:ascii="Arial" w:hAnsi="Arial" w:cs="Arial"/>
                <w:sz w:val="22"/>
                <w:szCs w:val="22"/>
              </w:rPr>
              <w:t>1</w:t>
            </w:r>
            <w:r w:rsidR="005E6C3A">
              <w:rPr>
                <w:rFonts w:ascii="Arial" w:hAnsi="Arial" w:cs="Arial"/>
                <w:sz w:val="22"/>
                <w:szCs w:val="22"/>
              </w:rPr>
              <w:t>5</w:t>
            </w:r>
            <w:r w:rsidRPr="002823F5">
              <w:rPr>
                <w:rFonts w:ascii="Arial" w:hAnsi="Arial" w:cs="Arial"/>
                <w:sz w:val="22"/>
                <w:szCs w:val="22"/>
              </w:rPr>
              <w:t>.</w:t>
            </w:r>
            <w:r w:rsidR="005E6C3A">
              <w:rPr>
                <w:rFonts w:ascii="Arial" w:hAnsi="Arial" w:cs="Arial"/>
                <w:sz w:val="22"/>
                <w:szCs w:val="22"/>
              </w:rPr>
              <w:t>5</w:t>
            </w:r>
            <w:r w:rsidR="002823F5" w:rsidRPr="002823F5">
              <w:rPr>
                <w:rFonts w:ascii="Arial" w:hAnsi="Arial" w:cs="Arial"/>
                <w:sz w:val="22"/>
                <w:szCs w:val="22"/>
              </w:rPr>
              <w:t>25</w:t>
            </w:r>
          </w:p>
        </w:tc>
        <w:tc>
          <w:tcPr>
            <w:tcW w:w="1418" w:type="dxa"/>
            <w:vAlign w:val="center"/>
          </w:tcPr>
          <w:p w:rsidR="000C1EE0" w:rsidRPr="002823F5" w:rsidRDefault="00B33D81" w:rsidP="005E6C3A">
            <w:pPr>
              <w:jc w:val="right"/>
              <w:rPr>
                <w:rFonts w:ascii="Arial" w:hAnsi="Arial" w:cs="Arial"/>
                <w:sz w:val="22"/>
                <w:szCs w:val="22"/>
              </w:rPr>
            </w:pPr>
            <w:r w:rsidRPr="002823F5">
              <w:rPr>
                <w:rFonts w:ascii="Arial" w:hAnsi="Arial" w:cs="Arial"/>
                <w:sz w:val="22"/>
                <w:szCs w:val="22"/>
              </w:rPr>
              <w:t>1</w:t>
            </w:r>
            <w:r w:rsidR="005E6C3A">
              <w:rPr>
                <w:rFonts w:ascii="Arial" w:hAnsi="Arial" w:cs="Arial"/>
                <w:sz w:val="22"/>
                <w:szCs w:val="22"/>
              </w:rPr>
              <w:t>5</w:t>
            </w:r>
            <w:r w:rsidRPr="002823F5">
              <w:rPr>
                <w:rFonts w:ascii="Arial" w:hAnsi="Arial" w:cs="Arial"/>
                <w:sz w:val="22"/>
                <w:szCs w:val="22"/>
              </w:rPr>
              <w:t>.</w:t>
            </w:r>
            <w:r w:rsidR="005E6C3A">
              <w:rPr>
                <w:rFonts w:ascii="Arial" w:hAnsi="Arial" w:cs="Arial"/>
                <w:sz w:val="22"/>
                <w:szCs w:val="22"/>
              </w:rPr>
              <w:t>4</w:t>
            </w:r>
            <w:r w:rsidR="002823F5" w:rsidRPr="002823F5">
              <w:rPr>
                <w:rFonts w:ascii="Arial" w:hAnsi="Arial" w:cs="Arial"/>
                <w:sz w:val="22"/>
                <w:szCs w:val="22"/>
              </w:rPr>
              <w:t>68</w:t>
            </w:r>
          </w:p>
        </w:tc>
        <w:tc>
          <w:tcPr>
            <w:tcW w:w="1343" w:type="dxa"/>
            <w:vAlign w:val="center"/>
          </w:tcPr>
          <w:p w:rsidR="000C1EE0" w:rsidRPr="002823F5" w:rsidRDefault="00B33D81" w:rsidP="005E6C3A">
            <w:pPr>
              <w:jc w:val="right"/>
              <w:rPr>
                <w:rFonts w:ascii="Arial" w:hAnsi="Arial" w:cs="Arial"/>
                <w:sz w:val="22"/>
                <w:szCs w:val="22"/>
              </w:rPr>
            </w:pPr>
            <w:r w:rsidRPr="002823F5">
              <w:rPr>
                <w:rFonts w:ascii="Arial" w:hAnsi="Arial" w:cs="Arial"/>
                <w:sz w:val="22"/>
                <w:szCs w:val="22"/>
              </w:rPr>
              <w:t>1</w:t>
            </w:r>
            <w:r w:rsidR="005E6C3A">
              <w:rPr>
                <w:rFonts w:ascii="Arial" w:hAnsi="Arial" w:cs="Arial"/>
                <w:sz w:val="22"/>
                <w:szCs w:val="22"/>
              </w:rPr>
              <w:t>5</w:t>
            </w:r>
            <w:r w:rsidRPr="002823F5">
              <w:rPr>
                <w:rFonts w:ascii="Arial" w:hAnsi="Arial" w:cs="Arial"/>
                <w:sz w:val="22"/>
                <w:szCs w:val="22"/>
              </w:rPr>
              <w:t>.</w:t>
            </w:r>
            <w:r w:rsidR="005E6C3A">
              <w:rPr>
                <w:rFonts w:ascii="Arial" w:hAnsi="Arial" w:cs="Arial"/>
                <w:sz w:val="22"/>
                <w:szCs w:val="22"/>
              </w:rPr>
              <w:t>4</w:t>
            </w:r>
            <w:r w:rsidR="002823F5" w:rsidRPr="002823F5">
              <w:rPr>
                <w:rFonts w:ascii="Arial" w:hAnsi="Arial" w:cs="Arial"/>
                <w:sz w:val="22"/>
                <w:szCs w:val="22"/>
              </w:rPr>
              <w:t>12</w:t>
            </w:r>
          </w:p>
        </w:tc>
      </w:tr>
      <w:tr w:rsidR="000C1EE0" w:rsidRPr="006C7D92" w:rsidTr="0077594B">
        <w:tc>
          <w:tcPr>
            <w:tcW w:w="2864" w:type="dxa"/>
            <w:tcBorders>
              <w:bottom w:val="single" w:sz="4" w:space="0" w:color="auto"/>
            </w:tcBorders>
          </w:tcPr>
          <w:p w:rsidR="000C1EE0" w:rsidRPr="006C7D92" w:rsidRDefault="000C1EE0" w:rsidP="005804A2">
            <w:pPr>
              <w:jc w:val="both"/>
              <w:rPr>
                <w:rFonts w:ascii="Arial" w:hAnsi="Arial" w:cs="Arial"/>
                <w:b/>
                <w:sz w:val="22"/>
                <w:szCs w:val="22"/>
              </w:rPr>
            </w:pPr>
            <w:r w:rsidRPr="006C7D92">
              <w:rPr>
                <w:rFonts w:ascii="Arial" w:hAnsi="Arial" w:cs="Arial"/>
                <w:b/>
                <w:sz w:val="22"/>
                <w:szCs w:val="22"/>
              </w:rPr>
              <w:t>Authorised Limit</w:t>
            </w:r>
          </w:p>
        </w:tc>
        <w:tc>
          <w:tcPr>
            <w:tcW w:w="1418" w:type="dxa"/>
            <w:tcBorders>
              <w:bottom w:val="single" w:sz="4" w:space="0" w:color="auto"/>
            </w:tcBorders>
            <w:vAlign w:val="center"/>
          </w:tcPr>
          <w:p w:rsidR="000C1EE0" w:rsidRPr="002823F5" w:rsidRDefault="005E6C3A" w:rsidP="005E6C3A">
            <w:pPr>
              <w:jc w:val="right"/>
              <w:rPr>
                <w:rFonts w:ascii="Arial" w:hAnsi="Arial" w:cs="Arial"/>
                <w:b/>
                <w:sz w:val="22"/>
                <w:szCs w:val="22"/>
              </w:rPr>
            </w:pPr>
            <w:r>
              <w:rPr>
                <w:rFonts w:ascii="Arial" w:hAnsi="Arial" w:cs="Arial"/>
                <w:b/>
                <w:sz w:val="22"/>
                <w:szCs w:val="22"/>
              </w:rPr>
              <w:t>315</w:t>
            </w:r>
            <w:r w:rsidR="00523BE6" w:rsidRPr="002823F5">
              <w:rPr>
                <w:rFonts w:ascii="Arial" w:hAnsi="Arial" w:cs="Arial"/>
                <w:b/>
                <w:sz w:val="22"/>
                <w:szCs w:val="22"/>
              </w:rPr>
              <w:t>.</w:t>
            </w:r>
            <w:r>
              <w:rPr>
                <w:rFonts w:ascii="Arial" w:hAnsi="Arial" w:cs="Arial"/>
                <w:b/>
                <w:sz w:val="22"/>
                <w:szCs w:val="22"/>
              </w:rPr>
              <w:t>6</w:t>
            </w:r>
            <w:r w:rsidR="002823F5" w:rsidRPr="002823F5">
              <w:rPr>
                <w:rFonts w:ascii="Arial" w:hAnsi="Arial" w:cs="Arial"/>
                <w:b/>
                <w:sz w:val="22"/>
                <w:szCs w:val="22"/>
              </w:rPr>
              <w:t>8</w:t>
            </w:r>
            <w:r w:rsidR="00523BE6" w:rsidRPr="002823F5">
              <w:rPr>
                <w:rFonts w:ascii="Arial" w:hAnsi="Arial" w:cs="Arial"/>
                <w:b/>
                <w:sz w:val="22"/>
                <w:szCs w:val="22"/>
              </w:rPr>
              <w:t>6</w:t>
            </w:r>
          </w:p>
        </w:tc>
        <w:tc>
          <w:tcPr>
            <w:tcW w:w="1417" w:type="dxa"/>
            <w:tcBorders>
              <w:bottom w:val="single" w:sz="4" w:space="0" w:color="auto"/>
            </w:tcBorders>
            <w:vAlign w:val="center"/>
          </w:tcPr>
          <w:p w:rsidR="000C1EE0" w:rsidRPr="002823F5" w:rsidRDefault="00B33D81" w:rsidP="005E6C3A">
            <w:pPr>
              <w:tabs>
                <w:tab w:val="right" w:pos="702"/>
              </w:tabs>
              <w:jc w:val="right"/>
              <w:rPr>
                <w:rFonts w:ascii="Arial" w:hAnsi="Arial" w:cs="Arial"/>
                <w:b/>
                <w:sz w:val="22"/>
                <w:szCs w:val="22"/>
              </w:rPr>
            </w:pPr>
            <w:r w:rsidRPr="002823F5">
              <w:rPr>
                <w:rFonts w:ascii="Arial" w:hAnsi="Arial" w:cs="Arial"/>
                <w:b/>
                <w:sz w:val="22"/>
                <w:szCs w:val="22"/>
              </w:rPr>
              <w:t>3</w:t>
            </w:r>
            <w:r w:rsidR="005E6C3A">
              <w:rPr>
                <w:rFonts w:ascii="Arial" w:hAnsi="Arial" w:cs="Arial"/>
                <w:b/>
                <w:sz w:val="22"/>
                <w:szCs w:val="22"/>
              </w:rPr>
              <w:t>26</w:t>
            </w:r>
            <w:r w:rsidRPr="002823F5">
              <w:rPr>
                <w:rFonts w:ascii="Arial" w:hAnsi="Arial" w:cs="Arial"/>
                <w:b/>
                <w:sz w:val="22"/>
                <w:szCs w:val="22"/>
              </w:rPr>
              <w:t>.</w:t>
            </w:r>
            <w:r w:rsidR="005E6C3A">
              <w:rPr>
                <w:rFonts w:ascii="Arial" w:hAnsi="Arial" w:cs="Arial"/>
                <w:b/>
                <w:sz w:val="22"/>
                <w:szCs w:val="22"/>
              </w:rPr>
              <w:t>0</w:t>
            </w:r>
            <w:r w:rsidR="002823F5" w:rsidRPr="002823F5">
              <w:rPr>
                <w:rFonts w:ascii="Arial" w:hAnsi="Arial" w:cs="Arial"/>
                <w:b/>
                <w:sz w:val="22"/>
                <w:szCs w:val="22"/>
              </w:rPr>
              <w:t>23</w:t>
            </w:r>
          </w:p>
        </w:tc>
        <w:tc>
          <w:tcPr>
            <w:tcW w:w="1418" w:type="dxa"/>
            <w:tcBorders>
              <w:bottom w:val="single" w:sz="4" w:space="0" w:color="auto"/>
            </w:tcBorders>
            <w:vAlign w:val="center"/>
          </w:tcPr>
          <w:p w:rsidR="000C1EE0" w:rsidRPr="002823F5" w:rsidRDefault="00B33D81" w:rsidP="005E6C3A">
            <w:pPr>
              <w:jc w:val="right"/>
              <w:rPr>
                <w:rFonts w:ascii="Arial" w:hAnsi="Arial" w:cs="Arial"/>
                <w:b/>
                <w:sz w:val="22"/>
                <w:szCs w:val="22"/>
              </w:rPr>
            </w:pPr>
            <w:r w:rsidRPr="002823F5">
              <w:rPr>
                <w:rFonts w:ascii="Arial" w:hAnsi="Arial" w:cs="Arial"/>
                <w:b/>
                <w:sz w:val="22"/>
                <w:szCs w:val="22"/>
              </w:rPr>
              <w:t>3</w:t>
            </w:r>
            <w:r w:rsidR="005E6C3A">
              <w:rPr>
                <w:rFonts w:ascii="Arial" w:hAnsi="Arial" w:cs="Arial"/>
                <w:b/>
                <w:sz w:val="22"/>
                <w:szCs w:val="22"/>
              </w:rPr>
              <w:t>24</w:t>
            </w:r>
            <w:r w:rsidRPr="002823F5">
              <w:rPr>
                <w:rFonts w:ascii="Arial" w:hAnsi="Arial" w:cs="Arial"/>
                <w:b/>
                <w:sz w:val="22"/>
                <w:szCs w:val="22"/>
              </w:rPr>
              <w:t>.</w:t>
            </w:r>
            <w:r w:rsidR="005E6C3A">
              <w:rPr>
                <w:rFonts w:ascii="Arial" w:hAnsi="Arial" w:cs="Arial"/>
                <w:b/>
                <w:sz w:val="22"/>
                <w:szCs w:val="22"/>
              </w:rPr>
              <w:t>8</w:t>
            </w:r>
            <w:r w:rsidR="002823F5" w:rsidRPr="002823F5">
              <w:rPr>
                <w:rFonts w:ascii="Arial" w:hAnsi="Arial" w:cs="Arial"/>
                <w:b/>
                <w:sz w:val="22"/>
                <w:szCs w:val="22"/>
              </w:rPr>
              <w:t>26</w:t>
            </w:r>
          </w:p>
        </w:tc>
        <w:tc>
          <w:tcPr>
            <w:tcW w:w="1343" w:type="dxa"/>
            <w:tcBorders>
              <w:bottom w:val="single" w:sz="4" w:space="0" w:color="auto"/>
            </w:tcBorders>
            <w:vAlign w:val="center"/>
          </w:tcPr>
          <w:p w:rsidR="000C1EE0" w:rsidRPr="002823F5" w:rsidRDefault="00B33D81" w:rsidP="005E6C3A">
            <w:pPr>
              <w:jc w:val="right"/>
              <w:rPr>
                <w:rFonts w:ascii="Arial" w:hAnsi="Arial" w:cs="Arial"/>
                <w:b/>
                <w:sz w:val="22"/>
                <w:szCs w:val="22"/>
              </w:rPr>
            </w:pPr>
            <w:r w:rsidRPr="002823F5">
              <w:rPr>
                <w:rFonts w:ascii="Arial" w:hAnsi="Arial" w:cs="Arial"/>
                <w:b/>
                <w:sz w:val="22"/>
                <w:szCs w:val="22"/>
              </w:rPr>
              <w:t>3</w:t>
            </w:r>
            <w:r w:rsidR="005E6C3A">
              <w:rPr>
                <w:rFonts w:ascii="Arial" w:hAnsi="Arial" w:cs="Arial"/>
                <w:b/>
                <w:sz w:val="22"/>
                <w:szCs w:val="22"/>
              </w:rPr>
              <w:t>23</w:t>
            </w:r>
            <w:r w:rsidRPr="002823F5">
              <w:rPr>
                <w:rFonts w:ascii="Arial" w:hAnsi="Arial" w:cs="Arial"/>
                <w:b/>
                <w:sz w:val="22"/>
                <w:szCs w:val="22"/>
              </w:rPr>
              <w:t>.</w:t>
            </w:r>
            <w:r w:rsidR="005E6C3A">
              <w:rPr>
                <w:rFonts w:ascii="Arial" w:hAnsi="Arial" w:cs="Arial"/>
                <w:b/>
                <w:sz w:val="22"/>
                <w:szCs w:val="22"/>
              </w:rPr>
              <w:t>6</w:t>
            </w:r>
            <w:r w:rsidR="002823F5" w:rsidRPr="002823F5">
              <w:rPr>
                <w:rFonts w:ascii="Arial" w:hAnsi="Arial" w:cs="Arial"/>
                <w:b/>
                <w:sz w:val="22"/>
                <w:szCs w:val="22"/>
              </w:rPr>
              <w:t>44</w:t>
            </w:r>
          </w:p>
        </w:tc>
      </w:tr>
    </w:tbl>
    <w:p w:rsidR="003B257E" w:rsidRPr="006C7D92" w:rsidRDefault="003B257E" w:rsidP="005804A2">
      <w:pPr>
        <w:rPr>
          <w:rFonts w:ascii="Arial" w:hAnsi="Arial" w:cs="Arial"/>
          <w:b/>
          <w:szCs w:val="22"/>
        </w:rPr>
      </w:pPr>
    </w:p>
    <w:p w:rsidR="003B257E" w:rsidRDefault="009878EE" w:rsidP="005804A2">
      <w:pPr>
        <w:numPr>
          <w:ilvl w:val="0"/>
          <w:numId w:val="1"/>
        </w:numPr>
        <w:rPr>
          <w:rFonts w:ascii="Arial" w:hAnsi="Arial" w:cs="Arial"/>
          <w:szCs w:val="22"/>
        </w:rPr>
      </w:pPr>
      <w:r w:rsidRPr="0093730A">
        <w:rPr>
          <w:rFonts w:ascii="Arial" w:hAnsi="Arial" w:cs="Arial"/>
          <w:szCs w:val="22"/>
        </w:rPr>
        <w:t>It is proposed that the additional headroom for years 201</w:t>
      </w:r>
      <w:r w:rsidR="00DC2402">
        <w:rPr>
          <w:rFonts w:ascii="Arial" w:hAnsi="Arial" w:cs="Arial"/>
          <w:szCs w:val="22"/>
        </w:rPr>
        <w:t>9</w:t>
      </w:r>
      <w:r w:rsidR="006C6979">
        <w:rPr>
          <w:rFonts w:ascii="Arial" w:hAnsi="Arial" w:cs="Arial"/>
          <w:szCs w:val="22"/>
        </w:rPr>
        <w:t>/</w:t>
      </w:r>
      <w:r w:rsidR="00DC2402">
        <w:rPr>
          <w:rFonts w:ascii="Arial" w:hAnsi="Arial" w:cs="Arial"/>
          <w:szCs w:val="22"/>
        </w:rPr>
        <w:t>20</w:t>
      </w:r>
      <w:r w:rsidR="006C6979">
        <w:rPr>
          <w:rFonts w:ascii="Arial" w:hAnsi="Arial" w:cs="Arial"/>
          <w:szCs w:val="22"/>
        </w:rPr>
        <w:t xml:space="preserve"> to 202</w:t>
      </w:r>
      <w:r w:rsidR="00DC2402">
        <w:rPr>
          <w:rFonts w:ascii="Arial" w:hAnsi="Arial" w:cs="Arial"/>
          <w:szCs w:val="22"/>
        </w:rPr>
        <w:t>1</w:t>
      </w:r>
      <w:r w:rsidR="006C6979">
        <w:rPr>
          <w:rFonts w:ascii="Arial" w:hAnsi="Arial" w:cs="Arial"/>
          <w:szCs w:val="22"/>
        </w:rPr>
        <w:t>/2</w:t>
      </w:r>
      <w:r w:rsidR="00DC2402">
        <w:rPr>
          <w:rFonts w:ascii="Arial" w:hAnsi="Arial" w:cs="Arial"/>
          <w:szCs w:val="22"/>
        </w:rPr>
        <w:t>2</w:t>
      </w:r>
      <w:r w:rsidR="00885826">
        <w:rPr>
          <w:rFonts w:ascii="Arial" w:hAnsi="Arial" w:cs="Arial"/>
          <w:szCs w:val="22"/>
        </w:rPr>
        <w:t xml:space="preserve"> is </w:t>
      </w:r>
      <w:r w:rsidR="00183D1F">
        <w:rPr>
          <w:rFonts w:ascii="Arial" w:hAnsi="Arial" w:cs="Arial"/>
          <w:szCs w:val="22"/>
        </w:rPr>
        <w:t xml:space="preserve">5% above the operational boundary this would allow for any additional </w:t>
      </w:r>
      <w:proofErr w:type="spellStart"/>
      <w:r w:rsidR="00183D1F">
        <w:rPr>
          <w:rFonts w:ascii="Arial" w:hAnsi="Arial" w:cs="Arial"/>
          <w:szCs w:val="22"/>
        </w:rPr>
        <w:t>cashflow</w:t>
      </w:r>
      <w:proofErr w:type="spellEnd"/>
      <w:r w:rsidR="00183D1F">
        <w:rPr>
          <w:rFonts w:ascii="Arial" w:hAnsi="Arial" w:cs="Arial"/>
          <w:szCs w:val="22"/>
        </w:rPr>
        <w:t xml:space="preserve"> needs throughout the years</w:t>
      </w:r>
      <w:r w:rsidRPr="0093730A">
        <w:rPr>
          <w:rFonts w:ascii="Arial" w:hAnsi="Arial" w:cs="Arial"/>
          <w:szCs w:val="22"/>
        </w:rPr>
        <w:t xml:space="preserve">.  </w:t>
      </w:r>
    </w:p>
    <w:p w:rsidR="0093730A" w:rsidRPr="0093730A" w:rsidRDefault="0093730A" w:rsidP="005804A2">
      <w:pPr>
        <w:ind w:left="1305"/>
        <w:rPr>
          <w:rFonts w:ascii="Arial" w:hAnsi="Arial" w:cs="Arial"/>
          <w:szCs w:val="22"/>
        </w:rPr>
      </w:pPr>
    </w:p>
    <w:p w:rsidR="0062063B" w:rsidRDefault="00AB23E3" w:rsidP="005804A2">
      <w:pPr>
        <w:numPr>
          <w:ilvl w:val="0"/>
          <w:numId w:val="1"/>
        </w:numPr>
        <w:rPr>
          <w:rFonts w:ascii="Arial" w:hAnsi="Arial" w:cs="Arial"/>
          <w:iCs/>
          <w:szCs w:val="24"/>
        </w:rPr>
      </w:pPr>
      <w:r w:rsidRPr="00183D1F">
        <w:rPr>
          <w:rFonts w:ascii="Arial" w:hAnsi="Arial" w:cs="Arial"/>
          <w:iCs/>
          <w:szCs w:val="24"/>
        </w:rPr>
        <w:t>Separately</w:t>
      </w:r>
      <w:r w:rsidR="00DC2402">
        <w:rPr>
          <w:rFonts w:ascii="Arial" w:hAnsi="Arial" w:cs="Arial"/>
          <w:iCs/>
          <w:szCs w:val="24"/>
        </w:rPr>
        <w:t>,</w:t>
      </w:r>
      <w:r w:rsidRPr="00183D1F">
        <w:rPr>
          <w:rFonts w:ascii="Arial" w:hAnsi="Arial" w:cs="Arial"/>
          <w:iCs/>
          <w:szCs w:val="24"/>
        </w:rPr>
        <w:t xml:space="preserve"> the Council is also limited to a maximum HRA CFR through the HRA self-financing regime.  This limit is currently </w:t>
      </w:r>
      <w:r w:rsidRPr="00DE5F22">
        <w:rPr>
          <w:rFonts w:ascii="Arial" w:hAnsi="Arial" w:cs="Arial"/>
          <w:iCs/>
          <w:szCs w:val="24"/>
        </w:rPr>
        <w:t>£</w:t>
      </w:r>
      <w:r w:rsidR="00131F13" w:rsidRPr="00DE5F22">
        <w:rPr>
          <w:rFonts w:ascii="Arial" w:hAnsi="Arial" w:cs="Arial"/>
          <w:iCs/>
          <w:szCs w:val="24"/>
        </w:rPr>
        <w:t>74.394</w:t>
      </w:r>
      <w:r w:rsidR="00DC2402" w:rsidRPr="00DE5F22">
        <w:rPr>
          <w:rFonts w:ascii="Arial" w:hAnsi="Arial" w:cs="Arial"/>
          <w:iCs/>
          <w:szCs w:val="24"/>
        </w:rPr>
        <w:t>m</w:t>
      </w:r>
      <w:r w:rsidRPr="00183D1F">
        <w:rPr>
          <w:rFonts w:ascii="Arial" w:hAnsi="Arial" w:cs="Arial"/>
          <w:iCs/>
          <w:szCs w:val="24"/>
        </w:rPr>
        <w:t xml:space="preserve"> and is included within both the Operational Boundary and the Authorised Limit:</w:t>
      </w:r>
    </w:p>
    <w:p w:rsidR="00BC3DA3" w:rsidRDefault="00BC3DA3" w:rsidP="00BC3DA3">
      <w:pPr>
        <w:pStyle w:val="ListParagraph"/>
        <w:rPr>
          <w:rFonts w:ascii="Arial" w:hAnsi="Arial" w:cs="Arial"/>
          <w:iCs/>
          <w:szCs w:val="24"/>
        </w:rPr>
      </w:pPr>
    </w:p>
    <w:p w:rsidR="00AB23E3" w:rsidRPr="005804A2" w:rsidRDefault="007B6896" w:rsidP="005804A2">
      <w:pPr>
        <w:jc w:val="both"/>
        <w:rPr>
          <w:rFonts w:ascii="Arial" w:hAnsi="Arial" w:cs="Arial"/>
          <w:b/>
          <w:iCs/>
          <w:szCs w:val="22"/>
        </w:rPr>
      </w:pPr>
      <w:r w:rsidRPr="005804A2">
        <w:rPr>
          <w:rFonts w:ascii="Arial" w:hAnsi="Arial" w:cs="Arial"/>
          <w:b/>
          <w:iCs/>
          <w:szCs w:val="22"/>
        </w:rPr>
        <w:t>Table 1</w:t>
      </w:r>
      <w:r w:rsidR="00BC3DA3">
        <w:rPr>
          <w:rFonts w:ascii="Arial" w:hAnsi="Arial" w:cs="Arial"/>
          <w:b/>
          <w:iCs/>
          <w:szCs w:val="22"/>
        </w:rPr>
        <w:t>0</w:t>
      </w:r>
      <w:r w:rsidR="00AB23E3" w:rsidRPr="005804A2">
        <w:rPr>
          <w:rFonts w:ascii="Arial" w:hAnsi="Arial" w:cs="Arial"/>
          <w:b/>
          <w:iCs/>
          <w:szCs w:val="22"/>
        </w:rPr>
        <w:t xml:space="preserve"> – HRA Debt Limit</w:t>
      </w:r>
    </w:p>
    <w:p w:rsidR="002D384D" w:rsidRPr="00AB23E3" w:rsidRDefault="002D384D" w:rsidP="005804A2">
      <w:pPr>
        <w:jc w:val="both"/>
        <w:rPr>
          <w:rFonts w:ascii="Arial" w:hAnsi="Arial" w:cs="Arial"/>
          <w:b/>
          <w:iCs/>
          <w:sz w:val="22"/>
          <w:szCs w:val="22"/>
        </w:rPr>
      </w:pPr>
    </w:p>
    <w:tbl>
      <w:tblPr>
        <w:tblW w:w="84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440"/>
        <w:gridCol w:w="1440"/>
        <w:gridCol w:w="1440"/>
        <w:gridCol w:w="1440"/>
      </w:tblGrid>
      <w:tr w:rsidR="000C1EE0" w:rsidRPr="00AB23E3" w:rsidTr="00272AE9">
        <w:tc>
          <w:tcPr>
            <w:tcW w:w="2700" w:type="dxa"/>
            <w:shd w:val="clear" w:color="auto" w:fill="D9D9D9"/>
          </w:tcPr>
          <w:p w:rsidR="000C1EE0" w:rsidRPr="00AB23E3" w:rsidRDefault="000C1EE0" w:rsidP="005804A2">
            <w:pPr>
              <w:jc w:val="both"/>
              <w:rPr>
                <w:rFonts w:ascii="Arial" w:hAnsi="Arial" w:cs="Arial"/>
                <w:sz w:val="22"/>
                <w:szCs w:val="22"/>
              </w:rPr>
            </w:pPr>
          </w:p>
        </w:tc>
        <w:tc>
          <w:tcPr>
            <w:tcW w:w="1440" w:type="dxa"/>
            <w:shd w:val="clear" w:color="auto" w:fill="D9D9D9"/>
          </w:tcPr>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201</w:t>
            </w:r>
            <w:r w:rsidR="00DC2402">
              <w:rPr>
                <w:rFonts w:ascii="Arial" w:hAnsi="Arial" w:cs="Arial"/>
                <w:b/>
                <w:bCs/>
                <w:sz w:val="22"/>
                <w:szCs w:val="22"/>
              </w:rPr>
              <w:t>8</w:t>
            </w:r>
            <w:r>
              <w:rPr>
                <w:rFonts w:ascii="Arial" w:hAnsi="Arial" w:cs="Arial"/>
                <w:b/>
                <w:bCs/>
                <w:sz w:val="22"/>
                <w:szCs w:val="22"/>
              </w:rPr>
              <w:t>/1</w:t>
            </w:r>
            <w:r w:rsidR="00DC2402">
              <w:rPr>
                <w:rFonts w:ascii="Arial" w:hAnsi="Arial" w:cs="Arial"/>
                <w:b/>
                <w:bCs/>
                <w:sz w:val="22"/>
                <w:szCs w:val="22"/>
              </w:rPr>
              <w:t>9</w:t>
            </w:r>
          </w:p>
          <w:p w:rsidR="00F45AC7" w:rsidRDefault="00F45AC7" w:rsidP="000C1EE0">
            <w:pPr>
              <w:pStyle w:val="BodyText"/>
              <w:spacing w:after="0"/>
              <w:jc w:val="center"/>
              <w:rPr>
                <w:rFonts w:ascii="Arial" w:hAnsi="Arial" w:cs="Arial"/>
                <w:b/>
                <w:bCs/>
                <w:sz w:val="22"/>
                <w:szCs w:val="22"/>
              </w:rPr>
            </w:pPr>
            <w:r>
              <w:rPr>
                <w:rFonts w:ascii="Arial" w:hAnsi="Arial" w:cs="Arial"/>
                <w:b/>
                <w:bCs/>
                <w:sz w:val="22"/>
                <w:szCs w:val="22"/>
              </w:rPr>
              <w:t>Revised</w:t>
            </w:r>
          </w:p>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w:t>
            </w:r>
            <w:r w:rsidR="00DC2402">
              <w:rPr>
                <w:rFonts w:ascii="Arial" w:hAnsi="Arial" w:cs="Arial"/>
                <w:b/>
                <w:bCs/>
                <w:sz w:val="22"/>
                <w:szCs w:val="22"/>
              </w:rPr>
              <w:t>m</w:t>
            </w:r>
          </w:p>
        </w:tc>
        <w:tc>
          <w:tcPr>
            <w:tcW w:w="1440" w:type="dxa"/>
            <w:shd w:val="clear" w:color="auto" w:fill="D9D9D9"/>
          </w:tcPr>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201</w:t>
            </w:r>
            <w:r w:rsidR="00DC2402">
              <w:rPr>
                <w:rFonts w:ascii="Arial" w:hAnsi="Arial" w:cs="Arial"/>
                <w:b/>
                <w:bCs/>
                <w:sz w:val="22"/>
                <w:szCs w:val="22"/>
              </w:rPr>
              <w:t>9</w:t>
            </w:r>
            <w:r>
              <w:rPr>
                <w:rFonts w:ascii="Arial" w:hAnsi="Arial" w:cs="Arial"/>
                <w:b/>
                <w:bCs/>
                <w:sz w:val="22"/>
                <w:szCs w:val="22"/>
              </w:rPr>
              <w:t>/</w:t>
            </w:r>
            <w:r w:rsidR="00DC2402">
              <w:rPr>
                <w:rFonts w:ascii="Arial" w:hAnsi="Arial" w:cs="Arial"/>
                <w:b/>
                <w:bCs/>
                <w:sz w:val="22"/>
                <w:szCs w:val="22"/>
              </w:rPr>
              <w:t>20</w:t>
            </w:r>
          </w:p>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Estimate £</w:t>
            </w:r>
            <w:r w:rsidR="00DC2402">
              <w:rPr>
                <w:rFonts w:ascii="Arial" w:hAnsi="Arial" w:cs="Arial"/>
                <w:b/>
                <w:bCs/>
                <w:sz w:val="22"/>
                <w:szCs w:val="22"/>
              </w:rPr>
              <w:t>m</w:t>
            </w:r>
          </w:p>
        </w:tc>
        <w:tc>
          <w:tcPr>
            <w:tcW w:w="1440" w:type="dxa"/>
            <w:shd w:val="clear" w:color="auto" w:fill="D9D9D9"/>
          </w:tcPr>
          <w:p w:rsidR="000C1EE0" w:rsidRDefault="000C1EE0" w:rsidP="000C1EE0">
            <w:pPr>
              <w:pStyle w:val="BodyText"/>
              <w:spacing w:after="0"/>
              <w:jc w:val="center"/>
              <w:rPr>
                <w:rFonts w:ascii="Arial" w:hAnsi="Arial" w:cs="Arial"/>
                <w:b/>
                <w:bCs/>
                <w:sz w:val="22"/>
                <w:szCs w:val="22"/>
              </w:rPr>
            </w:pPr>
            <w:r>
              <w:rPr>
                <w:rFonts w:ascii="Arial" w:hAnsi="Arial" w:cs="Arial"/>
                <w:b/>
                <w:bCs/>
                <w:sz w:val="22"/>
                <w:szCs w:val="22"/>
              </w:rPr>
              <w:t>20</w:t>
            </w:r>
            <w:r w:rsidR="00DC2402">
              <w:rPr>
                <w:rFonts w:ascii="Arial" w:hAnsi="Arial" w:cs="Arial"/>
                <w:b/>
                <w:bCs/>
                <w:sz w:val="22"/>
                <w:szCs w:val="22"/>
              </w:rPr>
              <w:t>20</w:t>
            </w:r>
            <w:r>
              <w:rPr>
                <w:rFonts w:ascii="Arial" w:hAnsi="Arial" w:cs="Arial"/>
                <w:b/>
                <w:bCs/>
                <w:sz w:val="22"/>
                <w:szCs w:val="22"/>
              </w:rPr>
              <w:t>/2</w:t>
            </w:r>
            <w:r w:rsidR="00DC2402">
              <w:rPr>
                <w:rFonts w:ascii="Arial" w:hAnsi="Arial" w:cs="Arial"/>
                <w:b/>
                <w:bCs/>
                <w:sz w:val="22"/>
                <w:szCs w:val="22"/>
              </w:rPr>
              <w:t>1</w:t>
            </w:r>
          </w:p>
          <w:p w:rsidR="000C1EE0" w:rsidRPr="00330F7B" w:rsidRDefault="000C1EE0" w:rsidP="000C1EE0">
            <w:pPr>
              <w:pStyle w:val="BodyText"/>
              <w:spacing w:after="0"/>
              <w:jc w:val="center"/>
              <w:rPr>
                <w:rFonts w:ascii="Arial" w:hAnsi="Arial" w:cs="Arial"/>
                <w:b/>
                <w:bCs/>
                <w:sz w:val="22"/>
                <w:szCs w:val="22"/>
              </w:rPr>
            </w:pPr>
            <w:r>
              <w:rPr>
                <w:rFonts w:ascii="Arial" w:hAnsi="Arial" w:cs="Arial"/>
                <w:b/>
                <w:bCs/>
                <w:sz w:val="22"/>
                <w:szCs w:val="22"/>
              </w:rPr>
              <w:t>Estimate £</w:t>
            </w:r>
            <w:r w:rsidR="00DC2402">
              <w:rPr>
                <w:rFonts w:ascii="Arial" w:hAnsi="Arial" w:cs="Arial"/>
                <w:b/>
                <w:bCs/>
                <w:sz w:val="22"/>
                <w:szCs w:val="22"/>
              </w:rPr>
              <w:t>m</w:t>
            </w:r>
          </w:p>
        </w:tc>
        <w:tc>
          <w:tcPr>
            <w:tcW w:w="1440" w:type="dxa"/>
            <w:shd w:val="clear" w:color="auto" w:fill="D9D9D9"/>
          </w:tcPr>
          <w:p w:rsidR="00F45AC7" w:rsidRPr="00330F7B" w:rsidRDefault="00F45AC7" w:rsidP="00F45AC7">
            <w:pPr>
              <w:pStyle w:val="BodyText"/>
              <w:spacing w:after="0"/>
              <w:jc w:val="center"/>
              <w:rPr>
                <w:rFonts w:ascii="Arial" w:hAnsi="Arial" w:cs="Arial"/>
                <w:b/>
                <w:bCs/>
                <w:sz w:val="22"/>
                <w:szCs w:val="22"/>
              </w:rPr>
            </w:pPr>
            <w:r>
              <w:rPr>
                <w:rFonts w:ascii="Arial" w:hAnsi="Arial" w:cs="Arial"/>
                <w:b/>
                <w:bCs/>
                <w:sz w:val="22"/>
                <w:szCs w:val="22"/>
              </w:rPr>
              <w:t>202</w:t>
            </w:r>
            <w:r w:rsidR="00DC2402">
              <w:rPr>
                <w:rFonts w:ascii="Arial" w:hAnsi="Arial" w:cs="Arial"/>
                <w:b/>
                <w:bCs/>
                <w:sz w:val="22"/>
                <w:szCs w:val="22"/>
              </w:rPr>
              <w:t>1</w:t>
            </w:r>
            <w:r>
              <w:rPr>
                <w:rFonts w:ascii="Arial" w:hAnsi="Arial" w:cs="Arial"/>
                <w:b/>
                <w:bCs/>
                <w:sz w:val="22"/>
                <w:szCs w:val="22"/>
              </w:rPr>
              <w:t>/2</w:t>
            </w:r>
            <w:r w:rsidR="00DC2402">
              <w:rPr>
                <w:rFonts w:ascii="Arial" w:hAnsi="Arial" w:cs="Arial"/>
                <w:b/>
                <w:bCs/>
                <w:sz w:val="22"/>
                <w:szCs w:val="22"/>
              </w:rPr>
              <w:t>2</w:t>
            </w:r>
          </w:p>
          <w:p w:rsidR="000C1EE0" w:rsidRPr="00330F7B" w:rsidRDefault="00DC2402" w:rsidP="00DC2402">
            <w:pPr>
              <w:pStyle w:val="BodyText"/>
              <w:spacing w:after="0"/>
              <w:jc w:val="center"/>
              <w:rPr>
                <w:rFonts w:ascii="Arial" w:hAnsi="Arial" w:cs="Arial"/>
                <w:b/>
                <w:bCs/>
                <w:sz w:val="22"/>
                <w:szCs w:val="22"/>
              </w:rPr>
            </w:pPr>
            <w:r>
              <w:rPr>
                <w:rFonts w:ascii="Arial" w:hAnsi="Arial" w:cs="Arial"/>
                <w:b/>
                <w:bCs/>
                <w:sz w:val="22"/>
                <w:szCs w:val="22"/>
              </w:rPr>
              <w:t>Estimate £m</w:t>
            </w:r>
          </w:p>
        </w:tc>
      </w:tr>
      <w:tr w:rsidR="000C1EE0" w:rsidRPr="00AB23E3" w:rsidTr="00272AE9">
        <w:tc>
          <w:tcPr>
            <w:tcW w:w="2700" w:type="dxa"/>
          </w:tcPr>
          <w:p w:rsidR="000C1EE0" w:rsidRPr="00AB23E3" w:rsidRDefault="000C1EE0" w:rsidP="005804A2">
            <w:pPr>
              <w:jc w:val="right"/>
              <w:rPr>
                <w:rFonts w:ascii="Arial" w:hAnsi="Arial" w:cs="Arial"/>
                <w:sz w:val="22"/>
                <w:szCs w:val="22"/>
              </w:rPr>
            </w:pPr>
            <w:r>
              <w:rPr>
                <w:rFonts w:ascii="Arial" w:hAnsi="Arial" w:cs="Arial"/>
                <w:sz w:val="22"/>
                <w:szCs w:val="22"/>
              </w:rPr>
              <w:t>HRA debt cap</w:t>
            </w:r>
            <w:r w:rsidR="00394E61">
              <w:rPr>
                <w:rFonts w:ascii="Arial" w:hAnsi="Arial" w:cs="Arial"/>
                <w:sz w:val="22"/>
                <w:szCs w:val="22"/>
              </w:rPr>
              <w:t xml:space="preserve"> *</w:t>
            </w:r>
          </w:p>
        </w:tc>
        <w:tc>
          <w:tcPr>
            <w:tcW w:w="1440" w:type="dxa"/>
          </w:tcPr>
          <w:p w:rsidR="000C1EE0" w:rsidRPr="00DE5F22" w:rsidRDefault="000C1EE0" w:rsidP="005804A2">
            <w:pPr>
              <w:jc w:val="right"/>
              <w:rPr>
                <w:rFonts w:ascii="Arial" w:hAnsi="Arial" w:cs="Arial"/>
                <w:sz w:val="22"/>
                <w:szCs w:val="22"/>
              </w:rPr>
            </w:pPr>
            <w:r w:rsidRPr="00DE5F22">
              <w:rPr>
                <w:rFonts w:ascii="Arial" w:hAnsi="Arial" w:cs="Arial"/>
                <w:sz w:val="22"/>
                <w:szCs w:val="22"/>
              </w:rPr>
              <w:t>74.394</w:t>
            </w:r>
          </w:p>
        </w:tc>
        <w:tc>
          <w:tcPr>
            <w:tcW w:w="1440" w:type="dxa"/>
          </w:tcPr>
          <w:p w:rsidR="000C1EE0" w:rsidRPr="00DE5F22" w:rsidRDefault="000C1EE0" w:rsidP="005804A2">
            <w:pPr>
              <w:tabs>
                <w:tab w:val="right" w:pos="702"/>
              </w:tabs>
              <w:jc w:val="right"/>
              <w:rPr>
                <w:rFonts w:ascii="Arial" w:hAnsi="Arial" w:cs="Arial"/>
                <w:sz w:val="22"/>
                <w:szCs w:val="22"/>
              </w:rPr>
            </w:pPr>
            <w:r w:rsidRPr="00DE5F22">
              <w:rPr>
                <w:rFonts w:ascii="Arial" w:hAnsi="Arial" w:cs="Arial"/>
                <w:sz w:val="22"/>
                <w:szCs w:val="22"/>
              </w:rPr>
              <w:t>74.394</w:t>
            </w:r>
          </w:p>
        </w:tc>
        <w:tc>
          <w:tcPr>
            <w:tcW w:w="1440" w:type="dxa"/>
          </w:tcPr>
          <w:p w:rsidR="000C1EE0" w:rsidRPr="00DE5F22" w:rsidRDefault="000C1EE0" w:rsidP="005804A2">
            <w:pPr>
              <w:jc w:val="right"/>
              <w:rPr>
                <w:rFonts w:ascii="Arial" w:hAnsi="Arial" w:cs="Arial"/>
                <w:sz w:val="22"/>
                <w:szCs w:val="22"/>
              </w:rPr>
            </w:pPr>
            <w:r w:rsidRPr="00DE5F22">
              <w:rPr>
                <w:rFonts w:ascii="Arial" w:hAnsi="Arial" w:cs="Arial"/>
                <w:sz w:val="22"/>
                <w:szCs w:val="22"/>
              </w:rPr>
              <w:t>74.394</w:t>
            </w:r>
          </w:p>
        </w:tc>
        <w:tc>
          <w:tcPr>
            <w:tcW w:w="1440" w:type="dxa"/>
          </w:tcPr>
          <w:p w:rsidR="000C1EE0" w:rsidRPr="00DE5F22" w:rsidRDefault="000C1EE0" w:rsidP="005804A2">
            <w:pPr>
              <w:jc w:val="right"/>
              <w:rPr>
                <w:rFonts w:ascii="Arial" w:hAnsi="Arial" w:cs="Arial"/>
                <w:sz w:val="22"/>
                <w:szCs w:val="22"/>
              </w:rPr>
            </w:pPr>
            <w:r w:rsidRPr="00DE5F22">
              <w:rPr>
                <w:rFonts w:ascii="Arial" w:hAnsi="Arial" w:cs="Arial"/>
                <w:sz w:val="22"/>
                <w:szCs w:val="22"/>
              </w:rPr>
              <w:t>74.394</w:t>
            </w:r>
          </w:p>
        </w:tc>
      </w:tr>
      <w:tr w:rsidR="000C1EE0" w:rsidRPr="00AB23E3" w:rsidTr="00272AE9">
        <w:tc>
          <w:tcPr>
            <w:tcW w:w="2700" w:type="dxa"/>
          </w:tcPr>
          <w:p w:rsidR="000C1EE0" w:rsidRDefault="000C1EE0" w:rsidP="005804A2">
            <w:pPr>
              <w:jc w:val="right"/>
              <w:rPr>
                <w:rFonts w:ascii="Arial" w:hAnsi="Arial" w:cs="Arial"/>
                <w:sz w:val="22"/>
                <w:szCs w:val="22"/>
              </w:rPr>
            </w:pPr>
            <w:r>
              <w:rPr>
                <w:rFonts w:ascii="Arial" w:hAnsi="Arial" w:cs="Arial"/>
                <w:sz w:val="22"/>
                <w:szCs w:val="22"/>
              </w:rPr>
              <w:t>HRA CFR</w:t>
            </w:r>
          </w:p>
        </w:tc>
        <w:tc>
          <w:tcPr>
            <w:tcW w:w="1440" w:type="dxa"/>
          </w:tcPr>
          <w:p w:rsidR="000C1EE0" w:rsidRPr="00DE5F22" w:rsidRDefault="00DE5F22" w:rsidP="00DE5F22">
            <w:pPr>
              <w:jc w:val="right"/>
              <w:rPr>
                <w:rFonts w:ascii="Arial" w:hAnsi="Arial" w:cs="Arial"/>
                <w:sz w:val="22"/>
                <w:szCs w:val="22"/>
              </w:rPr>
            </w:pPr>
            <w:r w:rsidRPr="00DE5F22">
              <w:rPr>
                <w:rFonts w:ascii="Arial" w:hAnsi="Arial" w:cs="Arial"/>
                <w:sz w:val="22"/>
                <w:szCs w:val="22"/>
              </w:rPr>
              <w:t>69</w:t>
            </w:r>
            <w:r w:rsidR="00073F3C" w:rsidRPr="00DE5F22">
              <w:rPr>
                <w:rFonts w:ascii="Arial" w:hAnsi="Arial" w:cs="Arial"/>
                <w:sz w:val="22"/>
                <w:szCs w:val="22"/>
              </w:rPr>
              <w:t>.</w:t>
            </w:r>
            <w:r w:rsidRPr="00DE5F22">
              <w:rPr>
                <w:rFonts w:ascii="Arial" w:hAnsi="Arial" w:cs="Arial"/>
                <w:sz w:val="22"/>
                <w:szCs w:val="22"/>
              </w:rPr>
              <w:t>596</w:t>
            </w:r>
          </w:p>
        </w:tc>
        <w:tc>
          <w:tcPr>
            <w:tcW w:w="1440" w:type="dxa"/>
          </w:tcPr>
          <w:p w:rsidR="000C1EE0" w:rsidRPr="00DE5F22" w:rsidRDefault="00073F3C" w:rsidP="00DE5F22">
            <w:pPr>
              <w:pStyle w:val="BodyText"/>
              <w:spacing w:after="0"/>
              <w:jc w:val="right"/>
              <w:rPr>
                <w:rFonts w:ascii="Arial" w:hAnsi="Arial" w:cs="Arial"/>
                <w:sz w:val="22"/>
                <w:szCs w:val="22"/>
              </w:rPr>
            </w:pPr>
            <w:r w:rsidRPr="00DE5F22">
              <w:rPr>
                <w:rFonts w:ascii="Arial" w:hAnsi="Arial" w:cs="Arial"/>
                <w:sz w:val="22"/>
                <w:szCs w:val="22"/>
              </w:rPr>
              <w:t>6</w:t>
            </w:r>
            <w:r w:rsidR="00DE5F22" w:rsidRPr="00DE5F22">
              <w:rPr>
                <w:rFonts w:ascii="Arial" w:hAnsi="Arial" w:cs="Arial"/>
                <w:sz w:val="22"/>
                <w:szCs w:val="22"/>
              </w:rPr>
              <w:t>8</w:t>
            </w:r>
            <w:r w:rsidRPr="00DE5F22">
              <w:rPr>
                <w:rFonts w:ascii="Arial" w:hAnsi="Arial" w:cs="Arial"/>
                <w:sz w:val="22"/>
                <w:szCs w:val="22"/>
              </w:rPr>
              <w:t>.</w:t>
            </w:r>
            <w:r w:rsidR="00DE5F22" w:rsidRPr="00DE5F22">
              <w:rPr>
                <w:rFonts w:ascii="Arial" w:hAnsi="Arial" w:cs="Arial"/>
                <w:sz w:val="22"/>
                <w:szCs w:val="22"/>
              </w:rPr>
              <w:t>967</w:t>
            </w:r>
          </w:p>
        </w:tc>
        <w:tc>
          <w:tcPr>
            <w:tcW w:w="1440" w:type="dxa"/>
          </w:tcPr>
          <w:p w:rsidR="000C1EE0" w:rsidRPr="00DE5F22" w:rsidRDefault="00073F3C" w:rsidP="00DE5F22">
            <w:pPr>
              <w:pStyle w:val="BodyText"/>
              <w:spacing w:after="0"/>
              <w:jc w:val="right"/>
              <w:rPr>
                <w:rFonts w:ascii="Arial" w:hAnsi="Arial" w:cs="Arial"/>
                <w:sz w:val="22"/>
                <w:szCs w:val="22"/>
              </w:rPr>
            </w:pPr>
            <w:r w:rsidRPr="00DE5F22">
              <w:rPr>
                <w:rFonts w:ascii="Arial" w:hAnsi="Arial" w:cs="Arial"/>
                <w:sz w:val="22"/>
                <w:szCs w:val="22"/>
              </w:rPr>
              <w:t>68.</w:t>
            </w:r>
            <w:r w:rsidR="00DE5F22" w:rsidRPr="00DE5F22">
              <w:rPr>
                <w:rFonts w:ascii="Arial" w:hAnsi="Arial" w:cs="Arial"/>
                <w:sz w:val="22"/>
                <w:szCs w:val="22"/>
              </w:rPr>
              <w:t>338</w:t>
            </w:r>
          </w:p>
        </w:tc>
        <w:tc>
          <w:tcPr>
            <w:tcW w:w="1440" w:type="dxa"/>
          </w:tcPr>
          <w:p w:rsidR="000C1EE0" w:rsidRPr="00DE5F22" w:rsidRDefault="00073F3C" w:rsidP="00DE5F22">
            <w:pPr>
              <w:pStyle w:val="BodyText"/>
              <w:spacing w:after="0"/>
              <w:jc w:val="right"/>
              <w:rPr>
                <w:rFonts w:ascii="Arial" w:hAnsi="Arial" w:cs="Arial"/>
                <w:sz w:val="22"/>
                <w:szCs w:val="22"/>
              </w:rPr>
            </w:pPr>
            <w:r w:rsidRPr="00DE5F22">
              <w:rPr>
                <w:rFonts w:ascii="Arial" w:hAnsi="Arial" w:cs="Arial"/>
                <w:sz w:val="22"/>
                <w:szCs w:val="22"/>
              </w:rPr>
              <w:t>6</w:t>
            </w:r>
            <w:r w:rsidR="00DE5F22" w:rsidRPr="00DE5F22">
              <w:rPr>
                <w:rFonts w:ascii="Arial" w:hAnsi="Arial" w:cs="Arial"/>
                <w:sz w:val="22"/>
                <w:szCs w:val="22"/>
              </w:rPr>
              <w:t>7</w:t>
            </w:r>
            <w:r w:rsidRPr="00DE5F22">
              <w:rPr>
                <w:rFonts w:ascii="Arial" w:hAnsi="Arial" w:cs="Arial"/>
                <w:sz w:val="22"/>
                <w:szCs w:val="22"/>
              </w:rPr>
              <w:t>.</w:t>
            </w:r>
            <w:r w:rsidR="00DE5F22" w:rsidRPr="00DE5F22">
              <w:rPr>
                <w:rFonts w:ascii="Arial" w:hAnsi="Arial" w:cs="Arial"/>
                <w:sz w:val="22"/>
                <w:szCs w:val="22"/>
              </w:rPr>
              <w:t>709</w:t>
            </w:r>
          </w:p>
        </w:tc>
      </w:tr>
      <w:tr w:rsidR="000C1EE0" w:rsidRPr="00AB23E3" w:rsidTr="00272AE9">
        <w:tc>
          <w:tcPr>
            <w:tcW w:w="2700" w:type="dxa"/>
            <w:tcBorders>
              <w:bottom w:val="single" w:sz="4" w:space="0" w:color="auto"/>
            </w:tcBorders>
          </w:tcPr>
          <w:p w:rsidR="000C1EE0" w:rsidRDefault="000C1EE0" w:rsidP="005804A2">
            <w:pPr>
              <w:jc w:val="right"/>
              <w:rPr>
                <w:rFonts w:ascii="Arial" w:hAnsi="Arial" w:cs="Arial"/>
                <w:sz w:val="22"/>
                <w:szCs w:val="22"/>
              </w:rPr>
            </w:pPr>
            <w:r>
              <w:rPr>
                <w:rFonts w:ascii="Arial" w:hAnsi="Arial" w:cs="Arial"/>
                <w:sz w:val="22"/>
                <w:szCs w:val="22"/>
              </w:rPr>
              <w:t>HRA Headroom</w:t>
            </w:r>
          </w:p>
        </w:tc>
        <w:tc>
          <w:tcPr>
            <w:tcW w:w="1440" w:type="dxa"/>
            <w:tcBorders>
              <w:bottom w:val="single" w:sz="4" w:space="0" w:color="auto"/>
            </w:tcBorders>
          </w:tcPr>
          <w:p w:rsidR="000C1EE0" w:rsidRPr="00DE5F22" w:rsidRDefault="00073F3C" w:rsidP="00DE5F22">
            <w:pPr>
              <w:jc w:val="right"/>
              <w:rPr>
                <w:rFonts w:ascii="Arial" w:hAnsi="Arial" w:cs="Arial"/>
                <w:sz w:val="22"/>
                <w:szCs w:val="22"/>
              </w:rPr>
            </w:pPr>
            <w:r w:rsidRPr="00DE5F22">
              <w:rPr>
                <w:rFonts w:ascii="Arial" w:hAnsi="Arial" w:cs="Arial"/>
                <w:sz w:val="22"/>
                <w:szCs w:val="22"/>
              </w:rPr>
              <w:t>4.</w:t>
            </w:r>
            <w:r w:rsidR="00DE5F22" w:rsidRPr="00DE5F22">
              <w:rPr>
                <w:rFonts w:ascii="Arial" w:hAnsi="Arial" w:cs="Arial"/>
                <w:sz w:val="22"/>
                <w:szCs w:val="22"/>
              </w:rPr>
              <w:t>798</w:t>
            </w:r>
          </w:p>
        </w:tc>
        <w:tc>
          <w:tcPr>
            <w:tcW w:w="1440" w:type="dxa"/>
            <w:tcBorders>
              <w:bottom w:val="single" w:sz="4" w:space="0" w:color="auto"/>
            </w:tcBorders>
          </w:tcPr>
          <w:p w:rsidR="000C1EE0" w:rsidRPr="00DE5F22" w:rsidRDefault="00DE5F22" w:rsidP="00DE5F22">
            <w:pPr>
              <w:tabs>
                <w:tab w:val="right" w:pos="702"/>
              </w:tabs>
              <w:jc w:val="right"/>
              <w:rPr>
                <w:rFonts w:ascii="Arial" w:hAnsi="Arial" w:cs="Arial"/>
                <w:sz w:val="22"/>
                <w:szCs w:val="22"/>
              </w:rPr>
            </w:pPr>
            <w:r w:rsidRPr="00DE5F22">
              <w:rPr>
                <w:rFonts w:ascii="Arial" w:hAnsi="Arial" w:cs="Arial"/>
                <w:sz w:val="22"/>
                <w:szCs w:val="22"/>
              </w:rPr>
              <w:t>5</w:t>
            </w:r>
            <w:r w:rsidR="00073F3C" w:rsidRPr="00DE5F22">
              <w:rPr>
                <w:rFonts w:ascii="Arial" w:hAnsi="Arial" w:cs="Arial"/>
                <w:sz w:val="22"/>
                <w:szCs w:val="22"/>
              </w:rPr>
              <w:t>.</w:t>
            </w:r>
            <w:r w:rsidRPr="00DE5F22">
              <w:rPr>
                <w:rFonts w:ascii="Arial" w:hAnsi="Arial" w:cs="Arial"/>
                <w:sz w:val="22"/>
                <w:szCs w:val="22"/>
              </w:rPr>
              <w:t>427</w:t>
            </w:r>
          </w:p>
        </w:tc>
        <w:tc>
          <w:tcPr>
            <w:tcW w:w="1440" w:type="dxa"/>
            <w:tcBorders>
              <w:bottom w:val="single" w:sz="4" w:space="0" w:color="auto"/>
            </w:tcBorders>
          </w:tcPr>
          <w:p w:rsidR="000C1EE0" w:rsidRPr="00DE5F22" w:rsidRDefault="00DE5F22" w:rsidP="00DE5F22">
            <w:pPr>
              <w:jc w:val="right"/>
              <w:rPr>
                <w:rFonts w:ascii="Arial" w:hAnsi="Arial" w:cs="Arial"/>
                <w:sz w:val="22"/>
                <w:szCs w:val="22"/>
              </w:rPr>
            </w:pPr>
            <w:r w:rsidRPr="00DE5F22">
              <w:rPr>
                <w:rFonts w:ascii="Arial" w:hAnsi="Arial" w:cs="Arial"/>
                <w:sz w:val="22"/>
                <w:szCs w:val="22"/>
              </w:rPr>
              <w:t>6</w:t>
            </w:r>
            <w:r w:rsidR="00073F3C" w:rsidRPr="00DE5F22">
              <w:rPr>
                <w:rFonts w:ascii="Arial" w:hAnsi="Arial" w:cs="Arial"/>
                <w:sz w:val="22"/>
                <w:szCs w:val="22"/>
              </w:rPr>
              <w:t>.</w:t>
            </w:r>
            <w:r w:rsidRPr="00DE5F22">
              <w:rPr>
                <w:rFonts w:ascii="Arial" w:hAnsi="Arial" w:cs="Arial"/>
                <w:sz w:val="22"/>
                <w:szCs w:val="22"/>
              </w:rPr>
              <w:t>056</w:t>
            </w:r>
          </w:p>
        </w:tc>
        <w:tc>
          <w:tcPr>
            <w:tcW w:w="1440" w:type="dxa"/>
            <w:tcBorders>
              <w:bottom w:val="single" w:sz="4" w:space="0" w:color="auto"/>
            </w:tcBorders>
          </w:tcPr>
          <w:p w:rsidR="000C1EE0" w:rsidRPr="00DE5F22" w:rsidRDefault="00073F3C" w:rsidP="00DE5F22">
            <w:pPr>
              <w:jc w:val="right"/>
              <w:rPr>
                <w:rFonts w:ascii="Arial" w:hAnsi="Arial" w:cs="Arial"/>
                <w:sz w:val="22"/>
                <w:szCs w:val="22"/>
              </w:rPr>
            </w:pPr>
            <w:r w:rsidRPr="00DE5F22">
              <w:rPr>
                <w:rFonts w:ascii="Arial" w:hAnsi="Arial" w:cs="Arial"/>
                <w:sz w:val="22"/>
                <w:szCs w:val="22"/>
              </w:rPr>
              <w:t>6.</w:t>
            </w:r>
            <w:r w:rsidR="00DE5F22" w:rsidRPr="00DE5F22">
              <w:rPr>
                <w:rFonts w:ascii="Arial" w:hAnsi="Arial" w:cs="Arial"/>
                <w:sz w:val="22"/>
                <w:szCs w:val="22"/>
              </w:rPr>
              <w:t>685</w:t>
            </w:r>
          </w:p>
        </w:tc>
      </w:tr>
    </w:tbl>
    <w:p w:rsidR="00F72C59" w:rsidRDefault="00F72C59" w:rsidP="005804A2">
      <w:pPr>
        <w:pStyle w:val="BodyText"/>
        <w:numPr>
          <w:ilvl w:val="12"/>
          <w:numId w:val="0"/>
        </w:numPr>
        <w:spacing w:after="0"/>
        <w:jc w:val="right"/>
        <w:rPr>
          <w:rFonts w:ascii="Arial" w:hAnsi="Arial" w:cs="Arial"/>
          <w:noProof/>
          <w:szCs w:val="24"/>
        </w:rPr>
      </w:pPr>
    </w:p>
    <w:p w:rsidR="00AF4C14" w:rsidRPr="00AF4C14" w:rsidRDefault="00394E61" w:rsidP="00394E61">
      <w:pPr>
        <w:pStyle w:val="BodyText"/>
        <w:spacing w:after="0"/>
        <w:rPr>
          <w:rFonts w:ascii="Arial" w:hAnsi="Arial" w:cs="Arial"/>
          <w:noProof/>
          <w:sz w:val="20"/>
        </w:rPr>
      </w:pPr>
      <w:r>
        <w:rPr>
          <w:rFonts w:ascii="Arial" w:hAnsi="Arial" w:cs="Arial"/>
          <w:noProof/>
          <w:szCs w:val="24"/>
        </w:rPr>
        <w:tab/>
      </w:r>
      <w:r w:rsidRPr="00AF4C14">
        <w:rPr>
          <w:rFonts w:ascii="Arial" w:hAnsi="Arial" w:cs="Arial"/>
          <w:b/>
          <w:noProof/>
          <w:sz w:val="20"/>
        </w:rPr>
        <w:t>*Note -  Abolition of HRA debt cap</w:t>
      </w:r>
      <w:r w:rsidRPr="00AF4C14">
        <w:rPr>
          <w:rFonts w:ascii="Arial" w:hAnsi="Arial" w:cs="Arial"/>
          <w:noProof/>
          <w:sz w:val="20"/>
        </w:rPr>
        <w:t xml:space="preserve">.  In October 2018, the Prime Minister </w:t>
      </w:r>
    </w:p>
    <w:p w:rsidR="00394E61" w:rsidRDefault="00394E61" w:rsidP="00AF4C14">
      <w:pPr>
        <w:pStyle w:val="BodyText"/>
        <w:spacing w:after="0"/>
        <w:ind w:left="720"/>
        <w:rPr>
          <w:rFonts w:ascii="Arial" w:hAnsi="Arial" w:cs="Arial"/>
          <w:noProof/>
          <w:sz w:val="20"/>
        </w:rPr>
      </w:pPr>
      <w:r w:rsidRPr="00AF4C14">
        <w:rPr>
          <w:rFonts w:ascii="Arial" w:hAnsi="Arial" w:cs="Arial"/>
          <w:noProof/>
          <w:sz w:val="20"/>
        </w:rPr>
        <w:t>anounced a policy change of abolition of the</w:t>
      </w:r>
      <w:r w:rsidR="002823F5">
        <w:rPr>
          <w:rFonts w:ascii="Arial" w:hAnsi="Arial" w:cs="Arial"/>
          <w:noProof/>
          <w:sz w:val="20"/>
        </w:rPr>
        <w:t xml:space="preserve"> </w:t>
      </w:r>
      <w:r w:rsidRPr="00AF4C14">
        <w:rPr>
          <w:rFonts w:ascii="Arial" w:hAnsi="Arial" w:cs="Arial"/>
          <w:noProof/>
          <w:sz w:val="20"/>
        </w:rPr>
        <w:t>HRA debt cap and the applicable date was 29.10.2018</w:t>
      </w:r>
      <w:r w:rsidR="00AF4C14">
        <w:rPr>
          <w:rFonts w:ascii="Arial" w:hAnsi="Arial" w:cs="Arial"/>
          <w:noProof/>
          <w:sz w:val="20"/>
        </w:rPr>
        <w:t>.</w:t>
      </w:r>
    </w:p>
    <w:p w:rsidR="003529B9" w:rsidRPr="00AF4C14" w:rsidRDefault="003529B9" w:rsidP="00AF4C14">
      <w:pPr>
        <w:pStyle w:val="BodyText"/>
        <w:spacing w:after="0"/>
        <w:ind w:left="720"/>
        <w:rPr>
          <w:rFonts w:ascii="Arial" w:hAnsi="Arial" w:cs="Arial"/>
          <w:noProof/>
          <w:sz w:val="20"/>
        </w:rPr>
      </w:pPr>
    </w:p>
    <w:p w:rsidR="00F72C59" w:rsidRDefault="00F72C59" w:rsidP="003C57C5">
      <w:pPr>
        <w:pStyle w:val="BodyText"/>
        <w:spacing w:after="0"/>
        <w:rPr>
          <w:rFonts w:ascii="Arial" w:hAnsi="Arial" w:cs="Arial"/>
          <w:b/>
          <w:noProof/>
          <w:szCs w:val="24"/>
        </w:rPr>
      </w:pPr>
      <w:r w:rsidRPr="00F72C59">
        <w:rPr>
          <w:rFonts w:ascii="Arial" w:hAnsi="Arial" w:cs="Arial"/>
          <w:b/>
          <w:noProof/>
          <w:szCs w:val="24"/>
        </w:rPr>
        <w:t>Prospects for Interest Rates</w:t>
      </w:r>
    </w:p>
    <w:p w:rsidR="005804A2" w:rsidRPr="00F72C59" w:rsidRDefault="005804A2" w:rsidP="005804A2">
      <w:pPr>
        <w:pStyle w:val="BodyText"/>
        <w:numPr>
          <w:ilvl w:val="12"/>
          <w:numId w:val="0"/>
        </w:numPr>
        <w:spacing w:after="0"/>
        <w:jc w:val="both"/>
        <w:rPr>
          <w:rFonts w:ascii="Arial" w:hAnsi="Arial" w:cs="Arial"/>
          <w:b/>
          <w:noProof/>
          <w:szCs w:val="24"/>
        </w:rPr>
      </w:pPr>
    </w:p>
    <w:p w:rsidR="00F72C59" w:rsidRDefault="006540B3" w:rsidP="005804A2">
      <w:pPr>
        <w:numPr>
          <w:ilvl w:val="0"/>
          <w:numId w:val="1"/>
        </w:numPr>
        <w:rPr>
          <w:rFonts w:ascii="Arial" w:hAnsi="Arial" w:cs="Arial"/>
          <w:noProof/>
          <w:szCs w:val="24"/>
        </w:rPr>
      </w:pPr>
      <w:r>
        <w:rPr>
          <w:rFonts w:ascii="Arial" w:hAnsi="Arial" w:cs="Arial"/>
          <w:noProof/>
          <w:szCs w:val="24"/>
        </w:rPr>
        <w:t xml:space="preserve">The Council has appointed Link </w:t>
      </w:r>
      <w:r w:rsidR="00F72C59" w:rsidRPr="00F72C59">
        <w:rPr>
          <w:rFonts w:ascii="Arial" w:hAnsi="Arial" w:cs="Arial"/>
          <w:noProof/>
          <w:szCs w:val="24"/>
        </w:rPr>
        <w:t>Asset Services as its treasury advisor and part of their service is to assist the Council to formulate a view on interest rates</w:t>
      </w:r>
      <w:r w:rsidR="001E19BF">
        <w:rPr>
          <w:rFonts w:ascii="Arial" w:hAnsi="Arial" w:cs="Arial"/>
          <w:noProof/>
          <w:szCs w:val="24"/>
        </w:rPr>
        <w:t xml:space="preserve">.  </w:t>
      </w:r>
      <w:r w:rsidR="00F72C59" w:rsidRPr="00F72C59">
        <w:rPr>
          <w:rFonts w:ascii="Arial" w:hAnsi="Arial" w:cs="Arial"/>
          <w:noProof/>
          <w:szCs w:val="24"/>
        </w:rPr>
        <w:t xml:space="preserve">The </w:t>
      </w:r>
      <w:r w:rsidR="00F72C59" w:rsidRPr="00F72C59">
        <w:rPr>
          <w:rFonts w:ascii="Arial" w:hAnsi="Arial" w:cs="Arial"/>
          <w:noProof/>
          <w:szCs w:val="24"/>
        </w:rPr>
        <w:lastRenderedPageBreak/>
        <w:t xml:space="preserve">following table gives </w:t>
      </w:r>
      <w:r>
        <w:rPr>
          <w:rFonts w:ascii="Arial" w:hAnsi="Arial" w:cs="Arial"/>
          <w:noProof/>
          <w:szCs w:val="24"/>
        </w:rPr>
        <w:t>Link</w:t>
      </w:r>
      <w:r w:rsidR="00E11144">
        <w:rPr>
          <w:rFonts w:ascii="Arial" w:hAnsi="Arial" w:cs="Arial"/>
          <w:noProof/>
          <w:szCs w:val="24"/>
        </w:rPr>
        <w:t xml:space="preserve"> Asset Services’s</w:t>
      </w:r>
      <w:r w:rsidR="00F72C59" w:rsidRPr="00F72C59">
        <w:rPr>
          <w:rFonts w:ascii="Arial" w:hAnsi="Arial" w:cs="Arial"/>
          <w:noProof/>
          <w:szCs w:val="24"/>
        </w:rPr>
        <w:t xml:space="preserve"> central v</w:t>
      </w:r>
      <w:r w:rsidR="00170C78">
        <w:rPr>
          <w:rFonts w:ascii="Arial" w:hAnsi="Arial" w:cs="Arial"/>
          <w:noProof/>
          <w:szCs w:val="24"/>
        </w:rPr>
        <w:t>iew for</w:t>
      </w:r>
      <w:r w:rsidR="004E56C3">
        <w:rPr>
          <w:rFonts w:ascii="Arial" w:hAnsi="Arial" w:cs="Arial"/>
          <w:noProof/>
          <w:szCs w:val="24"/>
        </w:rPr>
        <w:t xml:space="preserve"> </w:t>
      </w:r>
      <w:r w:rsidR="00170C78">
        <w:rPr>
          <w:rFonts w:ascii="Arial" w:hAnsi="Arial" w:cs="Arial"/>
          <w:noProof/>
          <w:szCs w:val="24"/>
        </w:rPr>
        <w:t>fu</w:t>
      </w:r>
      <w:r>
        <w:rPr>
          <w:rFonts w:ascii="Arial" w:hAnsi="Arial" w:cs="Arial"/>
          <w:noProof/>
          <w:szCs w:val="24"/>
        </w:rPr>
        <w:t xml:space="preserve">ture interest rates and </w:t>
      </w:r>
      <w:r w:rsidR="00170C78">
        <w:rPr>
          <w:rFonts w:ascii="Arial" w:hAnsi="Arial" w:cs="Arial"/>
          <w:noProof/>
          <w:szCs w:val="24"/>
        </w:rPr>
        <w:t>the economic background to that view</w:t>
      </w:r>
      <w:r>
        <w:rPr>
          <w:rFonts w:ascii="Arial" w:hAnsi="Arial" w:cs="Arial"/>
          <w:noProof/>
          <w:szCs w:val="24"/>
        </w:rPr>
        <w:t xml:space="preserve"> is shown </w:t>
      </w:r>
      <w:r w:rsidRPr="00116C42">
        <w:rPr>
          <w:rFonts w:ascii="Arial" w:hAnsi="Arial" w:cs="Arial"/>
          <w:noProof/>
          <w:szCs w:val="24"/>
        </w:rPr>
        <w:t>at Appendix 1</w:t>
      </w:r>
      <w:r w:rsidR="00170C78">
        <w:rPr>
          <w:rFonts w:ascii="Arial" w:hAnsi="Arial" w:cs="Arial"/>
          <w:noProof/>
          <w:szCs w:val="24"/>
        </w:rPr>
        <w:t>.</w:t>
      </w:r>
    </w:p>
    <w:p w:rsidR="004469DB" w:rsidRDefault="004469DB" w:rsidP="004469DB">
      <w:pPr>
        <w:ind w:left="567"/>
        <w:rPr>
          <w:rFonts w:ascii="Arial" w:hAnsi="Arial" w:cs="Arial"/>
          <w:noProof/>
          <w:szCs w:val="24"/>
        </w:rPr>
      </w:pPr>
    </w:p>
    <w:p w:rsidR="00F72C59" w:rsidRDefault="00C14329" w:rsidP="005804A2">
      <w:pPr>
        <w:pStyle w:val="BodyText"/>
        <w:numPr>
          <w:ilvl w:val="12"/>
          <w:numId w:val="0"/>
        </w:numPr>
        <w:spacing w:after="0"/>
        <w:jc w:val="both"/>
        <w:rPr>
          <w:rFonts w:ascii="Arial" w:hAnsi="Arial" w:cs="Arial"/>
          <w:b/>
          <w:noProof/>
          <w:szCs w:val="24"/>
        </w:rPr>
      </w:pPr>
      <w:r w:rsidRPr="00C14329">
        <w:rPr>
          <w:rFonts w:ascii="Arial" w:hAnsi="Arial" w:cs="Arial"/>
          <w:b/>
          <w:noProof/>
          <w:szCs w:val="24"/>
        </w:rPr>
        <w:t>Table 1</w:t>
      </w:r>
      <w:r w:rsidR="00BC3DA3">
        <w:rPr>
          <w:rFonts w:ascii="Arial" w:hAnsi="Arial" w:cs="Arial"/>
          <w:b/>
          <w:noProof/>
          <w:szCs w:val="24"/>
        </w:rPr>
        <w:t>1</w:t>
      </w:r>
    </w:p>
    <w:p w:rsidR="00472B77" w:rsidRPr="00C14329" w:rsidRDefault="00472B77" w:rsidP="005804A2">
      <w:pPr>
        <w:pStyle w:val="BodyText"/>
        <w:numPr>
          <w:ilvl w:val="12"/>
          <w:numId w:val="0"/>
        </w:numPr>
        <w:spacing w:after="0"/>
        <w:jc w:val="both"/>
        <w:rPr>
          <w:rFonts w:ascii="Arial" w:hAnsi="Arial" w:cs="Arial"/>
          <w:b/>
          <w:noProof/>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1515"/>
        <w:gridCol w:w="1387"/>
        <w:gridCol w:w="1382"/>
        <w:gridCol w:w="1466"/>
        <w:gridCol w:w="1553"/>
      </w:tblGrid>
      <w:tr w:rsidR="006A3A39" w:rsidRPr="00F72C59" w:rsidTr="00D81521">
        <w:tc>
          <w:tcPr>
            <w:tcW w:w="1319" w:type="dxa"/>
            <w:tcBorders>
              <w:top w:val="single" w:sz="4" w:space="0" w:color="auto"/>
              <w:left w:val="single" w:sz="4" w:space="0" w:color="auto"/>
              <w:bottom w:val="single" w:sz="4" w:space="0" w:color="auto"/>
              <w:right w:val="single" w:sz="4" w:space="0" w:color="auto"/>
            </w:tcBorders>
            <w:shd w:val="clear" w:color="auto" w:fill="D9D9D9"/>
            <w:hideMark/>
          </w:tcPr>
          <w:p w:rsidR="00183401" w:rsidRPr="00F72C59" w:rsidRDefault="00183401" w:rsidP="00472B77">
            <w:pPr>
              <w:jc w:val="center"/>
              <w:rPr>
                <w:rFonts w:ascii="Arial" w:hAnsi="Arial" w:cs="Arial"/>
                <w:b/>
                <w:spacing w:val="-5"/>
                <w:szCs w:val="24"/>
              </w:rPr>
            </w:pPr>
            <w:r w:rsidRPr="00F72C59">
              <w:rPr>
                <w:rFonts w:ascii="Arial" w:hAnsi="Arial" w:cs="Arial"/>
                <w:b/>
                <w:szCs w:val="24"/>
              </w:rPr>
              <w:t>Annual Average %</w:t>
            </w:r>
          </w:p>
        </w:tc>
        <w:tc>
          <w:tcPr>
            <w:tcW w:w="1607" w:type="dxa"/>
            <w:tcBorders>
              <w:top w:val="single" w:sz="4" w:space="0" w:color="auto"/>
              <w:left w:val="single" w:sz="4" w:space="0" w:color="auto"/>
              <w:bottom w:val="single" w:sz="4" w:space="0" w:color="auto"/>
              <w:right w:val="single" w:sz="4" w:space="0" w:color="auto"/>
            </w:tcBorders>
            <w:shd w:val="clear" w:color="auto" w:fill="D9D9D9"/>
            <w:hideMark/>
          </w:tcPr>
          <w:p w:rsidR="00183401" w:rsidRPr="00F72C59" w:rsidRDefault="00183401" w:rsidP="005804A2">
            <w:pPr>
              <w:jc w:val="center"/>
              <w:rPr>
                <w:rFonts w:ascii="Arial" w:hAnsi="Arial" w:cs="Arial"/>
                <w:b/>
                <w:spacing w:val="-5"/>
                <w:szCs w:val="24"/>
              </w:rPr>
            </w:pPr>
            <w:r w:rsidRPr="00F72C59">
              <w:rPr>
                <w:rFonts w:ascii="Arial" w:hAnsi="Arial" w:cs="Arial"/>
                <w:b/>
                <w:szCs w:val="24"/>
              </w:rPr>
              <w:t>Bank Rate</w:t>
            </w:r>
          </w:p>
          <w:p w:rsidR="00183401" w:rsidRPr="00F72C59" w:rsidRDefault="00183401" w:rsidP="005804A2">
            <w:pPr>
              <w:jc w:val="center"/>
              <w:rPr>
                <w:rFonts w:ascii="Arial" w:hAnsi="Arial" w:cs="Arial"/>
                <w:b/>
                <w:spacing w:val="-5"/>
                <w:szCs w:val="24"/>
              </w:rPr>
            </w:pPr>
            <w:r w:rsidRPr="00F72C59">
              <w:rPr>
                <w:rFonts w:ascii="Arial" w:hAnsi="Arial" w:cs="Arial"/>
                <w:b/>
                <w:szCs w:val="24"/>
              </w:rPr>
              <w:t>%</w:t>
            </w:r>
          </w:p>
        </w:tc>
        <w:tc>
          <w:tcPr>
            <w:tcW w:w="6170" w:type="dxa"/>
            <w:gridSpan w:val="4"/>
            <w:tcBorders>
              <w:top w:val="single" w:sz="4" w:space="0" w:color="auto"/>
              <w:left w:val="single" w:sz="4" w:space="0" w:color="auto"/>
              <w:bottom w:val="single" w:sz="4" w:space="0" w:color="auto"/>
              <w:right w:val="single" w:sz="4" w:space="0" w:color="auto"/>
            </w:tcBorders>
            <w:shd w:val="clear" w:color="auto" w:fill="D9D9D9"/>
          </w:tcPr>
          <w:p w:rsidR="00183401" w:rsidRPr="00F72C59" w:rsidRDefault="00183401" w:rsidP="005804A2">
            <w:pPr>
              <w:jc w:val="center"/>
              <w:rPr>
                <w:rFonts w:ascii="Arial" w:hAnsi="Arial" w:cs="Arial"/>
                <w:b/>
                <w:spacing w:val="-5"/>
                <w:szCs w:val="24"/>
              </w:rPr>
            </w:pPr>
            <w:r w:rsidRPr="00F72C59">
              <w:rPr>
                <w:rFonts w:ascii="Arial" w:hAnsi="Arial" w:cs="Arial"/>
                <w:b/>
                <w:szCs w:val="24"/>
              </w:rPr>
              <w:t>PWLB Borrowing Rates %</w:t>
            </w:r>
          </w:p>
          <w:p w:rsidR="00183401" w:rsidRPr="00F72C59" w:rsidRDefault="00183401" w:rsidP="005804A2">
            <w:pPr>
              <w:jc w:val="center"/>
              <w:rPr>
                <w:rFonts w:ascii="Arial" w:hAnsi="Arial" w:cs="Arial"/>
                <w:b/>
                <w:spacing w:val="-5"/>
                <w:szCs w:val="24"/>
              </w:rPr>
            </w:pPr>
            <w:r w:rsidRPr="00F72C59">
              <w:rPr>
                <w:rFonts w:ascii="Arial" w:hAnsi="Arial" w:cs="Arial"/>
                <w:b/>
                <w:szCs w:val="24"/>
              </w:rPr>
              <w:t xml:space="preserve">(including </w:t>
            </w:r>
            <w:r>
              <w:rPr>
                <w:rFonts w:ascii="Arial" w:hAnsi="Arial" w:cs="Arial"/>
                <w:b/>
                <w:szCs w:val="24"/>
              </w:rPr>
              <w:t>*</w:t>
            </w:r>
            <w:r w:rsidRPr="00F72C59">
              <w:rPr>
                <w:rFonts w:ascii="Arial" w:hAnsi="Arial" w:cs="Arial"/>
                <w:b/>
                <w:szCs w:val="24"/>
              </w:rPr>
              <w:t>certainty rate adjustment)</w:t>
            </w:r>
          </w:p>
        </w:tc>
      </w:tr>
      <w:tr w:rsidR="006A3A39" w:rsidRPr="00F72C59" w:rsidTr="00183401">
        <w:tc>
          <w:tcPr>
            <w:tcW w:w="1319" w:type="dxa"/>
            <w:tcBorders>
              <w:top w:val="single" w:sz="4" w:space="0" w:color="auto"/>
              <w:left w:val="single" w:sz="4" w:space="0" w:color="auto"/>
              <w:bottom w:val="single" w:sz="4" w:space="0" w:color="auto"/>
              <w:right w:val="single" w:sz="4" w:space="0" w:color="auto"/>
            </w:tcBorders>
            <w:shd w:val="clear" w:color="auto" w:fill="D9D9D9"/>
          </w:tcPr>
          <w:p w:rsidR="00183401" w:rsidRPr="00F72C59" w:rsidRDefault="00183401" w:rsidP="005804A2">
            <w:pPr>
              <w:rPr>
                <w:rFonts w:ascii="Arial" w:hAnsi="Arial" w:cs="Arial"/>
                <w:b/>
                <w:spacing w:val="-5"/>
                <w:szCs w:val="24"/>
              </w:rPr>
            </w:pPr>
          </w:p>
        </w:tc>
        <w:tc>
          <w:tcPr>
            <w:tcW w:w="1607" w:type="dxa"/>
            <w:tcBorders>
              <w:top w:val="single" w:sz="4" w:space="0" w:color="auto"/>
              <w:left w:val="single" w:sz="4" w:space="0" w:color="auto"/>
              <w:bottom w:val="single" w:sz="4" w:space="0" w:color="auto"/>
              <w:right w:val="single" w:sz="4" w:space="0" w:color="auto"/>
            </w:tcBorders>
            <w:shd w:val="clear" w:color="auto" w:fill="D9D9D9"/>
          </w:tcPr>
          <w:p w:rsidR="00183401" w:rsidRPr="00F72C59" w:rsidRDefault="00183401" w:rsidP="005804A2">
            <w:pPr>
              <w:jc w:val="center"/>
              <w:rPr>
                <w:rFonts w:ascii="Arial" w:hAnsi="Arial" w:cs="Arial"/>
                <w:b/>
                <w:spacing w:val="-5"/>
                <w:szCs w:val="24"/>
              </w:rPr>
            </w:pPr>
          </w:p>
        </w:tc>
        <w:tc>
          <w:tcPr>
            <w:tcW w:w="1475" w:type="dxa"/>
            <w:tcBorders>
              <w:top w:val="single" w:sz="4" w:space="0" w:color="auto"/>
              <w:left w:val="single" w:sz="4" w:space="0" w:color="auto"/>
              <w:bottom w:val="single" w:sz="4" w:space="0" w:color="auto"/>
              <w:right w:val="single" w:sz="4" w:space="0" w:color="auto"/>
            </w:tcBorders>
            <w:shd w:val="clear" w:color="auto" w:fill="D9D9D9"/>
            <w:hideMark/>
          </w:tcPr>
          <w:p w:rsidR="00183401" w:rsidRPr="00F72C59" w:rsidRDefault="00183401" w:rsidP="005804A2">
            <w:pPr>
              <w:jc w:val="center"/>
              <w:rPr>
                <w:rFonts w:ascii="Arial" w:hAnsi="Arial" w:cs="Arial"/>
                <w:b/>
                <w:spacing w:val="-5"/>
                <w:szCs w:val="24"/>
              </w:rPr>
            </w:pPr>
            <w:r w:rsidRPr="00F72C59">
              <w:rPr>
                <w:rFonts w:ascii="Arial" w:hAnsi="Arial" w:cs="Arial"/>
                <w:b/>
                <w:szCs w:val="24"/>
              </w:rPr>
              <w:t>5 year</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rsidR="00183401" w:rsidRPr="00F72C59" w:rsidRDefault="00183401" w:rsidP="005804A2">
            <w:pPr>
              <w:jc w:val="center"/>
              <w:rPr>
                <w:rFonts w:ascii="Arial" w:hAnsi="Arial" w:cs="Arial"/>
                <w:b/>
                <w:spacing w:val="-5"/>
                <w:szCs w:val="24"/>
              </w:rPr>
            </w:pPr>
            <w:r>
              <w:rPr>
                <w:rFonts w:ascii="Arial" w:hAnsi="Arial" w:cs="Arial"/>
                <w:b/>
                <w:szCs w:val="24"/>
              </w:rPr>
              <w:t>10</w:t>
            </w:r>
            <w:r w:rsidRPr="00F72C59">
              <w:rPr>
                <w:rFonts w:ascii="Arial" w:hAnsi="Arial" w:cs="Arial"/>
                <w:b/>
                <w:szCs w:val="24"/>
              </w:rPr>
              <w:t xml:space="preserve"> year</w:t>
            </w:r>
          </w:p>
        </w:tc>
        <w:tc>
          <w:tcPr>
            <w:tcW w:w="1564" w:type="dxa"/>
            <w:tcBorders>
              <w:top w:val="single" w:sz="4" w:space="0" w:color="auto"/>
              <w:left w:val="single" w:sz="4" w:space="0" w:color="auto"/>
              <w:bottom w:val="single" w:sz="4" w:space="0" w:color="auto"/>
              <w:right w:val="single" w:sz="4" w:space="0" w:color="auto"/>
            </w:tcBorders>
            <w:shd w:val="clear" w:color="auto" w:fill="D9D9D9"/>
          </w:tcPr>
          <w:p w:rsidR="00183401" w:rsidRPr="00F72C59" w:rsidRDefault="00183401" w:rsidP="005804A2">
            <w:pPr>
              <w:jc w:val="center"/>
              <w:rPr>
                <w:rFonts w:ascii="Arial" w:hAnsi="Arial" w:cs="Arial"/>
                <w:b/>
                <w:szCs w:val="24"/>
              </w:rPr>
            </w:pPr>
            <w:r w:rsidRPr="00F72C59">
              <w:rPr>
                <w:rFonts w:ascii="Arial" w:hAnsi="Arial" w:cs="Arial"/>
                <w:b/>
                <w:szCs w:val="24"/>
              </w:rPr>
              <w:t>25 year</w:t>
            </w:r>
          </w:p>
        </w:tc>
        <w:tc>
          <w:tcPr>
            <w:tcW w:w="1662" w:type="dxa"/>
            <w:tcBorders>
              <w:top w:val="single" w:sz="4" w:space="0" w:color="auto"/>
              <w:left w:val="single" w:sz="4" w:space="0" w:color="auto"/>
              <w:bottom w:val="single" w:sz="4" w:space="0" w:color="auto"/>
              <w:right w:val="single" w:sz="4" w:space="0" w:color="auto"/>
            </w:tcBorders>
            <w:shd w:val="clear" w:color="auto" w:fill="D9D9D9"/>
            <w:hideMark/>
          </w:tcPr>
          <w:p w:rsidR="00183401" w:rsidRPr="00F72C59" w:rsidRDefault="00183401" w:rsidP="005804A2">
            <w:pPr>
              <w:jc w:val="center"/>
              <w:rPr>
                <w:rFonts w:ascii="Arial" w:hAnsi="Arial" w:cs="Arial"/>
                <w:b/>
                <w:spacing w:val="-5"/>
                <w:szCs w:val="24"/>
              </w:rPr>
            </w:pPr>
            <w:r w:rsidRPr="00F72C59">
              <w:rPr>
                <w:rFonts w:ascii="Arial" w:hAnsi="Arial" w:cs="Arial"/>
                <w:b/>
                <w:szCs w:val="24"/>
              </w:rPr>
              <w:t>50 year</w:t>
            </w:r>
          </w:p>
        </w:tc>
      </w:tr>
      <w:tr w:rsidR="006A3A39" w:rsidRPr="00F72C59" w:rsidTr="00183401">
        <w:tc>
          <w:tcPr>
            <w:tcW w:w="1319" w:type="dxa"/>
            <w:tcBorders>
              <w:top w:val="single" w:sz="4" w:space="0" w:color="auto"/>
              <w:left w:val="single" w:sz="4" w:space="0" w:color="auto"/>
              <w:bottom w:val="single" w:sz="4" w:space="0" w:color="auto"/>
              <w:right w:val="single" w:sz="4" w:space="0" w:color="auto"/>
            </w:tcBorders>
            <w:hideMark/>
          </w:tcPr>
          <w:p w:rsidR="00183401" w:rsidRPr="00472B77" w:rsidRDefault="00183401" w:rsidP="00472B77">
            <w:pPr>
              <w:rPr>
                <w:rFonts w:ascii="Arial" w:hAnsi="Arial" w:cs="Arial"/>
                <w:color w:val="0D0D0D"/>
                <w:spacing w:val="-5"/>
                <w:szCs w:val="24"/>
              </w:rPr>
            </w:pPr>
            <w:r w:rsidRPr="00472B77">
              <w:rPr>
                <w:rFonts w:ascii="Arial" w:hAnsi="Arial" w:cs="Arial"/>
                <w:color w:val="0D0D0D"/>
                <w:szCs w:val="24"/>
              </w:rPr>
              <w:t>Mar 201</w:t>
            </w:r>
            <w:r w:rsidR="00472B77" w:rsidRPr="00472B77">
              <w:rPr>
                <w:rFonts w:ascii="Arial" w:hAnsi="Arial" w:cs="Arial"/>
                <w:color w:val="0D0D0D"/>
                <w:szCs w:val="24"/>
              </w:rPr>
              <w:t>9</w:t>
            </w:r>
          </w:p>
        </w:tc>
        <w:tc>
          <w:tcPr>
            <w:tcW w:w="1607" w:type="dxa"/>
            <w:tcBorders>
              <w:top w:val="single" w:sz="4" w:space="0" w:color="auto"/>
              <w:left w:val="single" w:sz="4" w:space="0" w:color="auto"/>
              <w:bottom w:val="single" w:sz="4" w:space="0" w:color="auto"/>
              <w:right w:val="single" w:sz="4" w:space="0" w:color="auto"/>
            </w:tcBorders>
          </w:tcPr>
          <w:p w:rsidR="00183401" w:rsidRPr="003C57C5" w:rsidRDefault="00183401" w:rsidP="003C57C5">
            <w:pPr>
              <w:jc w:val="center"/>
              <w:rPr>
                <w:rFonts w:ascii="Arial" w:hAnsi="Arial" w:cs="Arial"/>
                <w:color w:val="0D0D0D"/>
                <w:spacing w:val="-5"/>
                <w:szCs w:val="24"/>
              </w:rPr>
            </w:pPr>
            <w:r w:rsidRPr="003C57C5">
              <w:rPr>
                <w:rFonts w:ascii="Arial" w:hAnsi="Arial" w:cs="Arial"/>
                <w:color w:val="0D0D0D"/>
                <w:spacing w:val="-5"/>
                <w:szCs w:val="24"/>
              </w:rPr>
              <w:t>0.</w:t>
            </w:r>
            <w:r w:rsidR="003C57C5" w:rsidRPr="003C57C5">
              <w:rPr>
                <w:rFonts w:ascii="Arial" w:hAnsi="Arial" w:cs="Arial"/>
                <w:color w:val="0D0D0D"/>
                <w:spacing w:val="-5"/>
                <w:szCs w:val="24"/>
              </w:rPr>
              <w:t>7</w:t>
            </w:r>
            <w:r w:rsidR="006C6979" w:rsidRPr="003C57C5">
              <w:rPr>
                <w:rFonts w:ascii="Arial" w:hAnsi="Arial" w:cs="Arial"/>
                <w:color w:val="0D0D0D"/>
                <w:spacing w:val="-5"/>
                <w:szCs w:val="24"/>
              </w:rPr>
              <w:t>5</w:t>
            </w:r>
          </w:p>
        </w:tc>
        <w:tc>
          <w:tcPr>
            <w:tcW w:w="1475" w:type="dxa"/>
            <w:tcBorders>
              <w:top w:val="single" w:sz="4" w:space="0" w:color="auto"/>
              <w:left w:val="single" w:sz="4" w:space="0" w:color="auto"/>
              <w:bottom w:val="single" w:sz="4" w:space="0" w:color="auto"/>
              <w:right w:val="single" w:sz="4" w:space="0" w:color="auto"/>
            </w:tcBorders>
          </w:tcPr>
          <w:p w:rsidR="00183401" w:rsidRPr="003C57C5" w:rsidRDefault="00913B1B" w:rsidP="00913B1B">
            <w:pPr>
              <w:jc w:val="center"/>
              <w:rPr>
                <w:rFonts w:ascii="Arial" w:hAnsi="Arial" w:cs="Arial"/>
                <w:color w:val="0D0D0D"/>
                <w:spacing w:val="-5"/>
                <w:szCs w:val="24"/>
              </w:rPr>
            </w:pPr>
            <w:r>
              <w:rPr>
                <w:rFonts w:ascii="Arial" w:hAnsi="Arial" w:cs="Arial"/>
                <w:color w:val="0D0D0D"/>
                <w:spacing w:val="-5"/>
                <w:szCs w:val="24"/>
              </w:rPr>
              <w:t>1.9</w:t>
            </w:r>
            <w:r w:rsidR="00D671B0" w:rsidRPr="003C57C5">
              <w:rPr>
                <w:rFonts w:ascii="Arial" w:hAnsi="Arial" w:cs="Arial"/>
                <w:color w:val="0D0D0D"/>
                <w:spacing w:val="-5"/>
                <w:szCs w:val="24"/>
              </w:rPr>
              <w:t>0</w:t>
            </w:r>
          </w:p>
        </w:tc>
        <w:tc>
          <w:tcPr>
            <w:tcW w:w="1469"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2.</w:t>
            </w:r>
            <w:r w:rsidR="006A3A39">
              <w:rPr>
                <w:rFonts w:ascii="Arial" w:hAnsi="Arial" w:cs="Arial"/>
                <w:color w:val="0D0D0D"/>
                <w:spacing w:val="-5"/>
                <w:szCs w:val="24"/>
              </w:rPr>
              <w:t>3</w:t>
            </w:r>
            <w:r w:rsidRPr="003C57C5">
              <w:rPr>
                <w:rFonts w:ascii="Arial" w:hAnsi="Arial" w:cs="Arial"/>
                <w:color w:val="0D0D0D"/>
                <w:spacing w:val="-5"/>
                <w:szCs w:val="24"/>
              </w:rPr>
              <w:t>0</w:t>
            </w:r>
          </w:p>
        </w:tc>
        <w:tc>
          <w:tcPr>
            <w:tcW w:w="1564"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2.</w:t>
            </w:r>
            <w:r w:rsidR="006A3A39">
              <w:rPr>
                <w:rFonts w:ascii="Arial" w:hAnsi="Arial" w:cs="Arial"/>
                <w:color w:val="0D0D0D"/>
                <w:spacing w:val="-5"/>
                <w:szCs w:val="24"/>
              </w:rPr>
              <w:t>7</w:t>
            </w:r>
            <w:r w:rsidRPr="003C57C5">
              <w:rPr>
                <w:rFonts w:ascii="Arial" w:hAnsi="Arial" w:cs="Arial"/>
                <w:color w:val="0D0D0D"/>
                <w:spacing w:val="-5"/>
                <w:szCs w:val="24"/>
              </w:rPr>
              <w:t>0</w:t>
            </w:r>
          </w:p>
        </w:tc>
        <w:tc>
          <w:tcPr>
            <w:tcW w:w="1662"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2.</w:t>
            </w:r>
            <w:r w:rsidR="006A3A39">
              <w:rPr>
                <w:rFonts w:ascii="Arial" w:hAnsi="Arial" w:cs="Arial"/>
                <w:color w:val="0D0D0D"/>
                <w:spacing w:val="-5"/>
                <w:szCs w:val="24"/>
              </w:rPr>
              <w:t>5</w:t>
            </w:r>
            <w:r w:rsidRPr="003C57C5">
              <w:rPr>
                <w:rFonts w:ascii="Arial" w:hAnsi="Arial" w:cs="Arial"/>
                <w:color w:val="0D0D0D"/>
                <w:spacing w:val="-5"/>
                <w:szCs w:val="24"/>
              </w:rPr>
              <w:t>0</w:t>
            </w:r>
          </w:p>
        </w:tc>
      </w:tr>
      <w:tr w:rsidR="006A3A39" w:rsidRPr="00F72C59" w:rsidTr="00183401">
        <w:tc>
          <w:tcPr>
            <w:tcW w:w="1319" w:type="dxa"/>
            <w:tcBorders>
              <w:top w:val="single" w:sz="4" w:space="0" w:color="auto"/>
              <w:left w:val="single" w:sz="4" w:space="0" w:color="auto"/>
              <w:bottom w:val="single" w:sz="4" w:space="0" w:color="auto"/>
              <w:right w:val="single" w:sz="4" w:space="0" w:color="auto"/>
            </w:tcBorders>
            <w:hideMark/>
          </w:tcPr>
          <w:p w:rsidR="00183401" w:rsidRPr="00472B77" w:rsidRDefault="00183401" w:rsidP="005804A2">
            <w:pPr>
              <w:rPr>
                <w:rFonts w:ascii="Arial" w:hAnsi="Arial" w:cs="Arial"/>
                <w:color w:val="0D0D0D"/>
                <w:spacing w:val="-5"/>
                <w:szCs w:val="24"/>
              </w:rPr>
            </w:pPr>
            <w:r w:rsidRPr="00472B77">
              <w:rPr>
                <w:rFonts w:ascii="Arial" w:hAnsi="Arial" w:cs="Arial"/>
                <w:color w:val="0D0D0D"/>
                <w:szCs w:val="24"/>
              </w:rPr>
              <w:t>Jun 201</w:t>
            </w:r>
            <w:r w:rsidR="00472B77" w:rsidRPr="00472B77">
              <w:rPr>
                <w:rFonts w:ascii="Arial" w:hAnsi="Arial" w:cs="Arial"/>
                <w:color w:val="0D0D0D"/>
                <w:szCs w:val="24"/>
              </w:rPr>
              <w:t>9</w:t>
            </w:r>
          </w:p>
        </w:tc>
        <w:tc>
          <w:tcPr>
            <w:tcW w:w="1607" w:type="dxa"/>
            <w:tcBorders>
              <w:top w:val="single" w:sz="4" w:space="0" w:color="auto"/>
              <w:left w:val="single" w:sz="4" w:space="0" w:color="auto"/>
              <w:bottom w:val="single" w:sz="4" w:space="0" w:color="auto"/>
              <w:right w:val="single" w:sz="4" w:space="0" w:color="auto"/>
            </w:tcBorders>
          </w:tcPr>
          <w:p w:rsidR="00183401" w:rsidRPr="003C57C5" w:rsidRDefault="003C57C5" w:rsidP="003C57C5">
            <w:pPr>
              <w:jc w:val="center"/>
              <w:rPr>
                <w:rFonts w:ascii="Arial" w:hAnsi="Arial" w:cs="Arial"/>
                <w:color w:val="0D0D0D"/>
                <w:spacing w:val="-5"/>
                <w:szCs w:val="24"/>
              </w:rPr>
            </w:pPr>
            <w:r w:rsidRPr="003C57C5">
              <w:rPr>
                <w:rFonts w:ascii="Arial" w:hAnsi="Arial" w:cs="Arial"/>
                <w:color w:val="0D0D0D"/>
                <w:spacing w:val="-5"/>
                <w:szCs w:val="24"/>
              </w:rPr>
              <w:t>1</w:t>
            </w:r>
            <w:r w:rsidR="00523BE6" w:rsidRPr="003C57C5">
              <w:rPr>
                <w:rFonts w:ascii="Arial" w:hAnsi="Arial" w:cs="Arial"/>
                <w:color w:val="0D0D0D"/>
                <w:spacing w:val="-5"/>
                <w:szCs w:val="24"/>
              </w:rPr>
              <w:t>.</w:t>
            </w:r>
            <w:r w:rsidRPr="003C57C5">
              <w:rPr>
                <w:rFonts w:ascii="Arial" w:hAnsi="Arial" w:cs="Arial"/>
                <w:color w:val="0D0D0D"/>
                <w:spacing w:val="-5"/>
                <w:szCs w:val="24"/>
              </w:rPr>
              <w:t>0</w:t>
            </w:r>
            <w:r w:rsidR="00523BE6" w:rsidRPr="003C57C5">
              <w:rPr>
                <w:rFonts w:ascii="Arial" w:hAnsi="Arial" w:cs="Arial"/>
                <w:color w:val="0D0D0D"/>
                <w:spacing w:val="-5"/>
                <w:szCs w:val="24"/>
              </w:rPr>
              <w:t>0</w:t>
            </w:r>
          </w:p>
        </w:tc>
        <w:tc>
          <w:tcPr>
            <w:tcW w:w="1475" w:type="dxa"/>
            <w:tcBorders>
              <w:top w:val="single" w:sz="4" w:space="0" w:color="auto"/>
              <w:left w:val="single" w:sz="4" w:space="0" w:color="auto"/>
              <w:bottom w:val="single" w:sz="4" w:space="0" w:color="auto"/>
              <w:right w:val="single" w:sz="4" w:space="0" w:color="auto"/>
            </w:tcBorders>
          </w:tcPr>
          <w:p w:rsidR="00183401" w:rsidRPr="003C57C5" w:rsidRDefault="003C57C5" w:rsidP="006A3A39">
            <w:pPr>
              <w:jc w:val="center"/>
              <w:rPr>
                <w:rFonts w:ascii="Arial" w:hAnsi="Arial" w:cs="Arial"/>
                <w:color w:val="0D0D0D"/>
                <w:spacing w:val="-5"/>
                <w:szCs w:val="24"/>
              </w:rPr>
            </w:pPr>
            <w:r w:rsidRPr="003C57C5">
              <w:rPr>
                <w:rFonts w:ascii="Arial" w:hAnsi="Arial" w:cs="Arial"/>
                <w:color w:val="0D0D0D"/>
                <w:spacing w:val="-5"/>
                <w:szCs w:val="24"/>
              </w:rPr>
              <w:t>2</w:t>
            </w:r>
            <w:r w:rsidR="00D671B0" w:rsidRPr="003C57C5">
              <w:rPr>
                <w:rFonts w:ascii="Arial" w:hAnsi="Arial" w:cs="Arial"/>
                <w:color w:val="0D0D0D"/>
                <w:spacing w:val="-5"/>
                <w:szCs w:val="24"/>
              </w:rPr>
              <w:t>.</w:t>
            </w:r>
            <w:r w:rsidR="006A3A39">
              <w:rPr>
                <w:rFonts w:ascii="Arial" w:hAnsi="Arial" w:cs="Arial"/>
                <w:color w:val="0D0D0D"/>
                <w:spacing w:val="-5"/>
                <w:szCs w:val="24"/>
              </w:rPr>
              <w:t>0</w:t>
            </w:r>
            <w:r w:rsidR="00D671B0" w:rsidRPr="003C57C5">
              <w:rPr>
                <w:rFonts w:ascii="Arial" w:hAnsi="Arial" w:cs="Arial"/>
                <w:color w:val="0D0D0D"/>
                <w:spacing w:val="-5"/>
                <w:szCs w:val="24"/>
              </w:rPr>
              <w:t>0</w:t>
            </w:r>
          </w:p>
        </w:tc>
        <w:tc>
          <w:tcPr>
            <w:tcW w:w="1469"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2.</w:t>
            </w:r>
            <w:r w:rsidR="006A3A39">
              <w:rPr>
                <w:rFonts w:ascii="Arial" w:hAnsi="Arial" w:cs="Arial"/>
                <w:color w:val="0D0D0D"/>
                <w:spacing w:val="-5"/>
                <w:szCs w:val="24"/>
              </w:rPr>
              <w:t>4</w:t>
            </w:r>
            <w:r w:rsidRPr="003C57C5">
              <w:rPr>
                <w:rFonts w:ascii="Arial" w:hAnsi="Arial" w:cs="Arial"/>
                <w:color w:val="0D0D0D"/>
                <w:spacing w:val="-5"/>
                <w:szCs w:val="24"/>
              </w:rPr>
              <w:t>0</w:t>
            </w:r>
          </w:p>
        </w:tc>
        <w:tc>
          <w:tcPr>
            <w:tcW w:w="1564" w:type="dxa"/>
            <w:tcBorders>
              <w:top w:val="single" w:sz="4" w:space="0" w:color="auto"/>
              <w:left w:val="single" w:sz="4" w:space="0" w:color="auto"/>
              <w:bottom w:val="single" w:sz="4" w:space="0" w:color="auto"/>
              <w:right w:val="single" w:sz="4" w:space="0" w:color="auto"/>
            </w:tcBorders>
          </w:tcPr>
          <w:p w:rsidR="00183401" w:rsidRPr="003C57C5" w:rsidRDefault="006A3A39" w:rsidP="006A3A39">
            <w:pPr>
              <w:jc w:val="center"/>
              <w:rPr>
                <w:rFonts w:ascii="Arial" w:hAnsi="Arial" w:cs="Arial"/>
                <w:color w:val="0D0D0D"/>
                <w:spacing w:val="-5"/>
                <w:szCs w:val="24"/>
              </w:rPr>
            </w:pPr>
            <w:r>
              <w:rPr>
                <w:rFonts w:ascii="Arial" w:hAnsi="Arial" w:cs="Arial"/>
                <w:color w:val="0D0D0D"/>
                <w:spacing w:val="-5"/>
                <w:szCs w:val="24"/>
              </w:rPr>
              <w:t>2</w:t>
            </w:r>
            <w:r w:rsidR="00D671B0" w:rsidRPr="003C57C5">
              <w:rPr>
                <w:rFonts w:ascii="Arial" w:hAnsi="Arial" w:cs="Arial"/>
                <w:color w:val="0D0D0D"/>
                <w:spacing w:val="-5"/>
                <w:szCs w:val="24"/>
              </w:rPr>
              <w:t>.</w:t>
            </w:r>
            <w:r>
              <w:rPr>
                <w:rFonts w:ascii="Arial" w:hAnsi="Arial" w:cs="Arial"/>
                <w:color w:val="0D0D0D"/>
                <w:spacing w:val="-5"/>
                <w:szCs w:val="24"/>
              </w:rPr>
              <w:t>8</w:t>
            </w:r>
            <w:r w:rsidR="00D671B0" w:rsidRPr="003C57C5">
              <w:rPr>
                <w:rFonts w:ascii="Arial" w:hAnsi="Arial" w:cs="Arial"/>
                <w:color w:val="0D0D0D"/>
                <w:spacing w:val="-5"/>
                <w:szCs w:val="24"/>
              </w:rPr>
              <w:t>0</w:t>
            </w:r>
          </w:p>
        </w:tc>
        <w:tc>
          <w:tcPr>
            <w:tcW w:w="1662"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2.</w:t>
            </w:r>
            <w:r w:rsidR="006A3A39">
              <w:rPr>
                <w:rFonts w:ascii="Arial" w:hAnsi="Arial" w:cs="Arial"/>
                <w:color w:val="0D0D0D"/>
                <w:spacing w:val="-5"/>
                <w:szCs w:val="24"/>
              </w:rPr>
              <w:t>6</w:t>
            </w:r>
            <w:r w:rsidRPr="003C57C5">
              <w:rPr>
                <w:rFonts w:ascii="Arial" w:hAnsi="Arial" w:cs="Arial"/>
                <w:color w:val="0D0D0D"/>
                <w:spacing w:val="-5"/>
                <w:szCs w:val="24"/>
              </w:rPr>
              <w:t>0</w:t>
            </w:r>
          </w:p>
        </w:tc>
      </w:tr>
      <w:tr w:rsidR="006A3A39" w:rsidRPr="00F72C59" w:rsidTr="00183401">
        <w:tc>
          <w:tcPr>
            <w:tcW w:w="1319" w:type="dxa"/>
            <w:tcBorders>
              <w:top w:val="single" w:sz="4" w:space="0" w:color="auto"/>
              <w:left w:val="single" w:sz="4" w:space="0" w:color="auto"/>
              <w:bottom w:val="single" w:sz="4" w:space="0" w:color="auto"/>
              <w:right w:val="single" w:sz="4" w:space="0" w:color="auto"/>
            </w:tcBorders>
            <w:hideMark/>
          </w:tcPr>
          <w:p w:rsidR="00183401" w:rsidRPr="00472B77" w:rsidRDefault="00183401" w:rsidP="005804A2">
            <w:pPr>
              <w:rPr>
                <w:rFonts w:ascii="Arial" w:hAnsi="Arial" w:cs="Arial"/>
                <w:color w:val="0D0D0D"/>
                <w:spacing w:val="-5"/>
                <w:szCs w:val="24"/>
              </w:rPr>
            </w:pPr>
            <w:r w:rsidRPr="00472B77">
              <w:rPr>
                <w:rFonts w:ascii="Arial" w:hAnsi="Arial" w:cs="Arial"/>
                <w:color w:val="0D0D0D"/>
                <w:szCs w:val="24"/>
              </w:rPr>
              <w:t>Sep 201</w:t>
            </w:r>
            <w:r w:rsidR="00472B77" w:rsidRPr="00472B77">
              <w:rPr>
                <w:rFonts w:ascii="Arial" w:hAnsi="Arial" w:cs="Arial"/>
                <w:color w:val="0D0D0D"/>
                <w:szCs w:val="24"/>
              </w:rPr>
              <w:t>9</w:t>
            </w:r>
          </w:p>
        </w:tc>
        <w:tc>
          <w:tcPr>
            <w:tcW w:w="1607" w:type="dxa"/>
            <w:tcBorders>
              <w:top w:val="single" w:sz="4" w:space="0" w:color="auto"/>
              <w:left w:val="single" w:sz="4" w:space="0" w:color="auto"/>
              <w:bottom w:val="single" w:sz="4" w:space="0" w:color="auto"/>
              <w:right w:val="single" w:sz="4" w:space="0" w:color="auto"/>
            </w:tcBorders>
          </w:tcPr>
          <w:p w:rsidR="00183401" w:rsidRPr="003C57C5" w:rsidRDefault="003C57C5" w:rsidP="003C57C5">
            <w:pPr>
              <w:jc w:val="center"/>
              <w:rPr>
                <w:rFonts w:ascii="Arial" w:hAnsi="Arial" w:cs="Arial"/>
                <w:color w:val="0D0D0D"/>
                <w:spacing w:val="-5"/>
                <w:szCs w:val="24"/>
              </w:rPr>
            </w:pPr>
            <w:r w:rsidRPr="003C57C5">
              <w:rPr>
                <w:rFonts w:ascii="Arial" w:hAnsi="Arial" w:cs="Arial"/>
                <w:color w:val="0D0D0D"/>
                <w:spacing w:val="-5"/>
                <w:szCs w:val="24"/>
              </w:rPr>
              <w:t>1</w:t>
            </w:r>
            <w:r w:rsidR="00523BE6" w:rsidRPr="003C57C5">
              <w:rPr>
                <w:rFonts w:ascii="Arial" w:hAnsi="Arial" w:cs="Arial"/>
                <w:color w:val="0D0D0D"/>
                <w:spacing w:val="-5"/>
                <w:szCs w:val="24"/>
              </w:rPr>
              <w:t>.</w:t>
            </w:r>
            <w:r w:rsidRPr="003C57C5">
              <w:rPr>
                <w:rFonts w:ascii="Arial" w:hAnsi="Arial" w:cs="Arial"/>
                <w:color w:val="0D0D0D"/>
                <w:spacing w:val="-5"/>
                <w:szCs w:val="24"/>
              </w:rPr>
              <w:t>0</w:t>
            </w:r>
            <w:r w:rsidR="00523BE6" w:rsidRPr="003C57C5">
              <w:rPr>
                <w:rFonts w:ascii="Arial" w:hAnsi="Arial" w:cs="Arial"/>
                <w:color w:val="0D0D0D"/>
                <w:spacing w:val="-5"/>
                <w:szCs w:val="24"/>
              </w:rPr>
              <w:t>0</w:t>
            </w:r>
          </w:p>
        </w:tc>
        <w:tc>
          <w:tcPr>
            <w:tcW w:w="1475" w:type="dxa"/>
            <w:tcBorders>
              <w:top w:val="single" w:sz="4" w:space="0" w:color="auto"/>
              <w:left w:val="single" w:sz="4" w:space="0" w:color="auto"/>
              <w:bottom w:val="single" w:sz="4" w:space="0" w:color="auto"/>
              <w:right w:val="single" w:sz="4" w:space="0" w:color="auto"/>
            </w:tcBorders>
          </w:tcPr>
          <w:p w:rsidR="00183401" w:rsidRPr="003C57C5" w:rsidRDefault="003C57C5" w:rsidP="006A3A39">
            <w:pPr>
              <w:jc w:val="center"/>
              <w:rPr>
                <w:rFonts w:ascii="Arial" w:hAnsi="Arial" w:cs="Arial"/>
                <w:color w:val="0D0D0D"/>
                <w:spacing w:val="-5"/>
                <w:szCs w:val="24"/>
              </w:rPr>
            </w:pPr>
            <w:r w:rsidRPr="003C57C5">
              <w:rPr>
                <w:rFonts w:ascii="Arial" w:hAnsi="Arial" w:cs="Arial"/>
                <w:color w:val="0D0D0D"/>
                <w:spacing w:val="-5"/>
                <w:szCs w:val="24"/>
              </w:rPr>
              <w:t>2</w:t>
            </w:r>
            <w:r w:rsidR="00D671B0" w:rsidRPr="003C57C5">
              <w:rPr>
                <w:rFonts w:ascii="Arial" w:hAnsi="Arial" w:cs="Arial"/>
                <w:color w:val="0D0D0D"/>
                <w:spacing w:val="-5"/>
                <w:szCs w:val="24"/>
              </w:rPr>
              <w:t>.</w:t>
            </w:r>
            <w:r w:rsidR="006A3A39">
              <w:rPr>
                <w:rFonts w:ascii="Arial" w:hAnsi="Arial" w:cs="Arial"/>
                <w:color w:val="0D0D0D"/>
                <w:spacing w:val="-5"/>
                <w:szCs w:val="24"/>
              </w:rPr>
              <w:t>0</w:t>
            </w:r>
            <w:r w:rsidR="00D671B0" w:rsidRPr="003C57C5">
              <w:rPr>
                <w:rFonts w:ascii="Arial" w:hAnsi="Arial" w:cs="Arial"/>
                <w:color w:val="0D0D0D"/>
                <w:spacing w:val="-5"/>
                <w:szCs w:val="24"/>
              </w:rPr>
              <w:t>0</w:t>
            </w:r>
          </w:p>
        </w:tc>
        <w:tc>
          <w:tcPr>
            <w:tcW w:w="1469"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2.</w:t>
            </w:r>
            <w:r w:rsidR="006A3A39">
              <w:rPr>
                <w:rFonts w:ascii="Arial" w:hAnsi="Arial" w:cs="Arial"/>
                <w:color w:val="0D0D0D"/>
                <w:spacing w:val="-5"/>
                <w:szCs w:val="24"/>
              </w:rPr>
              <w:t>4</w:t>
            </w:r>
            <w:r w:rsidRPr="003C57C5">
              <w:rPr>
                <w:rFonts w:ascii="Arial" w:hAnsi="Arial" w:cs="Arial"/>
                <w:color w:val="0D0D0D"/>
                <w:spacing w:val="-5"/>
                <w:szCs w:val="24"/>
              </w:rPr>
              <w:t>0</w:t>
            </w:r>
          </w:p>
        </w:tc>
        <w:tc>
          <w:tcPr>
            <w:tcW w:w="1564" w:type="dxa"/>
            <w:tcBorders>
              <w:top w:val="single" w:sz="4" w:space="0" w:color="auto"/>
              <w:left w:val="single" w:sz="4" w:space="0" w:color="auto"/>
              <w:bottom w:val="single" w:sz="4" w:space="0" w:color="auto"/>
              <w:right w:val="single" w:sz="4" w:space="0" w:color="auto"/>
            </w:tcBorders>
          </w:tcPr>
          <w:p w:rsidR="00183401" w:rsidRPr="003C57C5" w:rsidRDefault="006A3A39" w:rsidP="006A3A39">
            <w:pPr>
              <w:jc w:val="center"/>
              <w:rPr>
                <w:rFonts w:ascii="Arial" w:hAnsi="Arial" w:cs="Arial"/>
                <w:color w:val="0D0D0D"/>
                <w:spacing w:val="-5"/>
                <w:szCs w:val="24"/>
              </w:rPr>
            </w:pPr>
            <w:r>
              <w:rPr>
                <w:rFonts w:ascii="Arial" w:hAnsi="Arial" w:cs="Arial"/>
                <w:color w:val="0D0D0D"/>
                <w:spacing w:val="-5"/>
                <w:szCs w:val="24"/>
              </w:rPr>
              <w:t>2</w:t>
            </w:r>
            <w:r w:rsidR="00D671B0" w:rsidRPr="003C57C5">
              <w:rPr>
                <w:rFonts w:ascii="Arial" w:hAnsi="Arial" w:cs="Arial"/>
                <w:color w:val="0D0D0D"/>
                <w:spacing w:val="-5"/>
                <w:szCs w:val="24"/>
              </w:rPr>
              <w:t>.</w:t>
            </w:r>
            <w:r>
              <w:rPr>
                <w:rFonts w:ascii="Arial" w:hAnsi="Arial" w:cs="Arial"/>
                <w:color w:val="0D0D0D"/>
                <w:spacing w:val="-5"/>
                <w:szCs w:val="24"/>
              </w:rPr>
              <w:t>9</w:t>
            </w:r>
            <w:r w:rsidR="00D671B0" w:rsidRPr="003C57C5">
              <w:rPr>
                <w:rFonts w:ascii="Arial" w:hAnsi="Arial" w:cs="Arial"/>
                <w:color w:val="0D0D0D"/>
                <w:spacing w:val="-5"/>
                <w:szCs w:val="24"/>
              </w:rPr>
              <w:t>0</w:t>
            </w:r>
          </w:p>
        </w:tc>
        <w:tc>
          <w:tcPr>
            <w:tcW w:w="1662"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2.</w:t>
            </w:r>
            <w:r w:rsidR="006A3A39">
              <w:rPr>
                <w:rFonts w:ascii="Arial" w:hAnsi="Arial" w:cs="Arial"/>
                <w:color w:val="0D0D0D"/>
                <w:spacing w:val="-5"/>
                <w:szCs w:val="24"/>
              </w:rPr>
              <w:t>7</w:t>
            </w:r>
            <w:r w:rsidRPr="003C57C5">
              <w:rPr>
                <w:rFonts w:ascii="Arial" w:hAnsi="Arial" w:cs="Arial"/>
                <w:color w:val="0D0D0D"/>
                <w:spacing w:val="-5"/>
                <w:szCs w:val="24"/>
              </w:rPr>
              <w:t>0</w:t>
            </w:r>
          </w:p>
        </w:tc>
      </w:tr>
      <w:tr w:rsidR="006A3A39" w:rsidRPr="00F72C59" w:rsidTr="00183401">
        <w:tc>
          <w:tcPr>
            <w:tcW w:w="1319" w:type="dxa"/>
            <w:tcBorders>
              <w:top w:val="single" w:sz="4" w:space="0" w:color="auto"/>
              <w:left w:val="single" w:sz="4" w:space="0" w:color="auto"/>
              <w:bottom w:val="single" w:sz="4" w:space="0" w:color="auto"/>
              <w:right w:val="single" w:sz="4" w:space="0" w:color="auto"/>
            </w:tcBorders>
            <w:hideMark/>
          </w:tcPr>
          <w:p w:rsidR="00183401" w:rsidRPr="00472B77" w:rsidRDefault="00183401" w:rsidP="005804A2">
            <w:pPr>
              <w:rPr>
                <w:rFonts w:ascii="Arial" w:hAnsi="Arial" w:cs="Arial"/>
                <w:color w:val="0D0D0D"/>
                <w:spacing w:val="-5"/>
                <w:szCs w:val="24"/>
              </w:rPr>
            </w:pPr>
            <w:r w:rsidRPr="00472B77">
              <w:rPr>
                <w:rFonts w:ascii="Arial" w:hAnsi="Arial" w:cs="Arial"/>
                <w:color w:val="0D0D0D"/>
                <w:szCs w:val="24"/>
              </w:rPr>
              <w:t>Dec 201</w:t>
            </w:r>
            <w:r w:rsidR="00472B77" w:rsidRPr="00472B77">
              <w:rPr>
                <w:rFonts w:ascii="Arial" w:hAnsi="Arial" w:cs="Arial"/>
                <w:color w:val="0D0D0D"/>
                <w:szCs w:val="24"/>
              </w:rPr>
              <w:t>9</w:t>
            </w:r>
          </w:p>
        </w:tc>
        <w:tc>
          <w:tcPr>
            <w:tcW w:w="1607" w:type="dxa"/>
            <w:tcBorders>
              <w:top w:val="single" w:sz="4" w:space="0" w:color="auto"/>
              <w:left w:val="single" w:sz="4" w:space="0" w:color="auto"/>
              <w:bottom w:val="single" w:sz="4" w:space="0" w:color="auto"/>
              <w:right w:val="single" w:sz="4" w:space="0" w:color="auto"/>
            </w:tcBorders>
          </w:tcPr>
          <w:p w:rsidR="00183401" w:rsidRPr="003C57C5" w:rsidRDefault="003C57C5" w:rsidP="003C57C5">
            <w:pPr>
              <w:jc w:val="center"/>
              <w:rPr>
                <w:rFonts w:ascii="Arial" w:hAnsi="Arial" w:cs="Arial"/>
                <w:color w:val="0D0D0D"/>
                <w:spacing w:val="-5"/>
                <w:szCs w:val="24"/>
              </w:rPr>
            </w:pPr>
            <w:r w:rsidRPr="003C57C5">
              <w:rPr>
                <w:rFonts w:ascii="Arial" w:hAnsi="Arial" w:cs="Arial"/>
                <w:color w:val="0D0D0D"/>
                <w:spacing w:val="-5"/>
                <w:szCs w:val="24"/>
              </w:rPr>
              <w:t>1</w:t>
            </w:r>
            <w:r w:rsidR="00523BE6" w:rsidRPr="003C57C5">
              <w:rPr>
                <w:rFonts w:ascii="Arial" w:hAnsi="Arial" w:cs="Arial"/>
                <w:color w:val="0D0D0D"/>
                <w:spacing w:val="-5"/>
                <w:szCs w:val="24"/>
              </w:rPr>
              <w:t>.</w:t>
            </w:r>
            <w:r w:rsidRPr="003C57C5">
              <w:rPr>
                <w:rFonts w:ascii="Arial" w:hAnsi="Arial" w:cs="Arial"/>
                <w:color w:val="0D0D0D"/>
                <w:spacing w:val="-5"/>
                <w:szCs w:val="24"/>
              </w:rPr>
              <w:t>0</w:t>
            </w:r>
            <w:r w:rsidR="00523BE6" w:rsidRPr="003C57C5">
              <w:rPr>
                <w:rFonts w:ascii="Arial" w:hAnsi="Arial" w:cs="Arial"/>
                <w:color w:val="0D0D0D"/>
                <w:spacing w:val="-5"/>
                <w:szCs w:val="24"/>
              </w:rPr>
              <w:t>0</w:t>
            </w:r>
          </w:p>
        </w:tc>
        <w:tc>
          <w:tcPr>
            <w:tcW w:w="1475" w:type="dxa"/>
            <w:tcBorders>
              <w:top w:val="single" w:sz="4" w:space="0" w:color="auto"/>
              <w:left w:val="single" w:sz="4" w:space="0" w:color="auto"/>
              <w:bottom w:val="single" w:sz="4" w:space="0" w:color="auto"/>
              <w:right w:val="single" w:sz="4" w:space="0" w:color="auto"/>
            </w:tcBorders>
          </w:tcPr>
          <w:p w:rsidR="00183401" w:rsidRPr="003C57C5" w:rsidRDefault="003C57C5" w:rsidP="006A3A39">
            <w:pPr>
              <w:jc w:val="center"/>
              <w:rPr>
                <w:rFonts w:ascii="Arial" w:hAnsi="Arial" w:cs="Arial"/>
                <w:color w:val="0D0D0D"/>
                <w:spacing w:val="-5"/>
                <w:szCs w:val="24"/>
              </w:rPr>
            </w:pPr>
            <w:r w:rsidRPr="003C57C5">
              <w:rPr>
                <w:rFonts w:ascii="Arial" w:hAnsi="Arial" w:cs="Arial"/>
                <w:color w:val="0D0D0D"/>
                <w:spacing w:val="-5"/>
                <w:szCs w:val="24"/>
              </w:rPr>
              <w:t>2</w:t>
            </w:r>
            <w:r w:rsidR="00D671B0" w:rsidRPr="003C57C5">
              <w:rPr>
                <w:rFonts w:ascii="Arial" w:hAnsi="Arial" w:cs="Arial"/>
                <w:color w:val="0D0D0D"/>
                <w:spacing w:val="-5"/>
                <w:szCs w:val="24"/>
              </w:rPr>
              <w:t>.</w:t>
            </w:r>
            <w:r w:rsidR="006A3A39">
              <w:rPr>
                <w:rFonts w:ascii="Arial" w:hAnsi="Arial" w:cs="Arial"/>
                <w:color w:val="0D0D0D"/>
                <w:spacing w:val="-5"/>
                <w:szCs w:val="24"/>
              </w:rPr>
              <w:t>1</w:t>
            </w:r>
            <w:r w:rsidR="00D671B0" w:rsidRPr="003C57C5">
              <w:rPr>
                <w:rFonts w:ascii="Arial" w:hAnsi="Arial" w:cs="Arial"/>
                <w:color w:val="0D0D0D"/>
                <w:spacing w:val="-5"/>
                <w:szCs w:val="24"/>
              </w:rPr>
              <w:t>0</w:t>
            </w:r>
          </w:p>
        </w:tc>
        <w:tc>
          <w:tcPr>
            <w:tcW w:w="1469"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2.</w:t>
            </w:r>
            <w:r w:rsidR="006A3A39">
              <w:rPr>
                <w:rFonts w:ascii="Arial" w:hAnsi="Arial" w:cs="Arial"/>
                <w:color w:val="0D0D0D"/>
                <w:spacing w:val="-5"/>
                <w:szCs w:val="24"/>
              </w:rPr>
              <w:t>5</w:t>
            </w:r>
            <w:r w:rsidRPr="003C57C5">
              <w:rPr>
                <w:rFonts w:ascii="Arial" w:hAnsi="Arial" w:cs="Arial"/>
                <w:color w:val="0D0D0D"/>
                <w:spacing w:val="-5"/>
                <w:szCs w:val="24"/>
              </w:rPr>
              <w:t>0</w:t>
            </w:r>
          </w:p>
        </w:tc>
        <w:tc>
          <w:tcPr>
            <w:tcW w:w="1564" w:type="dxa"/>
            <w:tcBorders>
              <w:top w:val="single" w:sz="4" w:space="0" w:color="auto"/>
              <w:left w:val="single" w:sz="4" w:space="0" w:color="auto"/>
              <w:bottom w:val="single" w:sz="4" w:space="0" w:color="auto"/>
              <w:right w:val="single" w:sz="4" w:space="0" w:color="auto"/>
            </w:tcBorders>
          </w:tcPr>
          <w:p w:rsidR="00183401" w:rsidRPr="003C57C5" w:rsidRDefault="006A3A39" w:rsidP="006A3A39">
            <w:pPr>
              <w:jc w:val="center"/>
              <w:rPr>
                <w:rFonts w:ascii="Arial" w:hAnsi="Arial" w:cs="Arial"/>
                <w:color w:val="0D0D0D"/>
                <w:spacing w:val="-5"/>
                <w:szCs w:val="24"/>
              </w:rPr>
            </w:pPr>
            <w:r>
              <w:rPr>
                <w:rFonts w:ascii="Arial" w:hAnsi="Arial" w:cs="Arial"/>
                <w:color w:val="0D0D0D"/>
                <w:spacing w:val="-5"/>
                <w:szCs w:val="24"/>
              </w:rPr>
              <w:t>2</w:t>
            </w:r>
            <w:r w:rsidR="00D671B0" w:rsidRPr="003C57C5">
              <w:rPr>
                <w:rFonts w:ascii="Arial" w:hAnsi="Arial" w:cs="Arial"/>
                <w:color w:val="0D0D0D"/>
                <w:spacing w:val="-5"/>
                <w:szCs w:val="24"/>
              </w:rPr>
              <w:t>.</w:t>
            </w:r>
            <w:r>
              <w:rPr>
                <w:rFonts w:ascii="Arial" w:hAnsi="Arial" w:cs="Arial"/>
                <w:color w:val="0D0D0D"/>
                <w:spacing w:val="-5"/>
                <w:szCs w:val="24"/>
              </w:rPr>
              <w:t>9</w:t>
            </w:r>
            <w:r w:rsidR="00D671B0" w:rsidRPr="003C57C5">
              <w:rPr>
                <w:rFonts w:ascii="Arial" w:hAnsi="Arial" w:cs="Arial"/>
                <w:color w:val="0D0D0D"/>
                <w:spacing w:val="-5"/>
                <w:szCs w:val="24"/>
              </w:rPr>
              <w:t>0</w:t>
            </w:r>
          </w:p>
        </w:tc>
        <w:tc>
          <w:tcPr>
            <w:tcW w:w="1662"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2.</w:t>
            </w:r>
            <w:r w:rsidR="006A3A39">
              <w:rPr>
                <w:rFonts w:ascii="Arial" w:hAnsi="Arial" w:cs="Arial"/>
                <w:color w:val="0D0D0D"/>
                <w:spacing w:val="-5"/>
                <w:szCs w:val="24"/>
              </w:rPr>
              <w:t>7</w:t>
            </w:r>
            <w:r w:rsidRPr="003C57C5">
              <w:rPr>
                <w:rFonts w:ascii="Arial" w:hAnsi="Arial" w:cs="Arial"/>
                <w:color w:val="0D0D0D"/>
                <w:spacing w:val="-5"/>
                <w:szCs w:val="24"/>
              </w:rPr>
              <w:t>0</w:t>
            </w:r>
          </w:p>
        </w:tc>
      </w:tr>
      <w:tr w:rsidR="006A3A39" w:rsidRPr="00F72C59" w:rsidTr="00183401">
        <w:tc>
          <w:tcPr>
            <w:tcW w:w="1319" w:type="dxa"/>
            <w:tcBorders>
              <w:top w:val="single" w:sz="4" w:space="0" w:color="auto"/>
              <w:left w:val="single" w:sz="4" w:space="0" w:color="auto"/>
              <w:bottom w:val="single" w:sz="4" w:space="0" w:color="auto"/>
              <w:right w:val="single" w:sz="4" w:space="0" w:color="auto"/>
            </w:tcBorders>
            <w:hideMark/>
          </w:tcPr>
          <w:p w:rsidR="00183401" w:rsidRPr="00472B77" w:rsidRDefault="00183401" w:rsidP="003C57C5">
            <w:pPr>
              <w:rPr>
                <w:rFonts w:ascii="Arial" w:hAnsi="Arial" w:cs="Arial"/>
                <w:color w:val="0D0D0D"/>
                <w:spacing w:val="-5"/>
                <w:szCs w:val="24"/>
              </w:rPr>
            </w:pPr>
            <w:r w:rsidRPr="00472B77">
              <w:rPr>
                <w:rFonts w:ascii="Arial" w:hAnsi="Arial" w:cs="Arial"/>
                <w:color w:val="0D0D0D"/>
                <w:szCs w:val="24"/>
              </w:rPr>
              <w:t>Mar 20</w:t>
            </w:r>
            <w:r w:rsidR="003C57C5">
              <w:rPr>
                <w:rFonts w:ascii="Arial" w:hAnsi="Arial" w:cs="Arial"/>
                <w:color w:val="0D0D0D"/>
                <w:szCs w:val="24"/>
              </w:rPr>
              <w:t>20</w:t>
            </w:r>
          </w:p>
        </w:tc>
        <w:tc>
          <w:tcPr>
            <w:tcW w:w="1607" w:type="dxa"/>
            <w:tcBorders>
              <w:top w:val="single" w:sz="4" w:space="0" w:color="auto"/>
              <w:left w:val="single" w:sz="4" w:space="0" w:color="auto"/>
              <w:bottom w:val="single" w:sz="4" w:space="0" w:color="auto"/>
              <w:right w:val="single" w:sz="4" w:space="0" w:color="auto"/>
            </w:tcBorders>
          </w:tcPr>
          <w:p w:rsidR="00183401" w:rsidRPr="003C57C5" w:rsidRDefault="003C57C5" w:rsidP="003C57C5">
            <w:pPr>
              <w:jc w:val="center"/>
              <w:rPr>
                <w:rFonts w:ascii="Arial" w:hAnsi="Arial" w:cs="Arial"/>
                <w:color w:val="0D0D0D"/>
                <w:spacing w:val="-5"/>
                <w:szCs w:val="24"/>
              </w:rPr>
            </w:pPr>
            <w:r w:rsidRPr="003C57C5">
              <w:rPr>
                <w:rFonts w:ascii="Arial" w:hAnsi="Arial" w:cs="Arial"/>
                <w:color w:val="0D0D0D"/>
                <w:spacing w:val="-5"/>
                <w:szCs w:val="24"/>
              </w:rPr>
              <w:t>1</w:t>
            </w:r>
            <w:r w:rsidR="00D671B0" w:rsidRPr="003C57C5">
              <w:rPr>
                <w:rFonts w:ascii="Arial" w:hAnsi="Arial" w:cs="Arial"/>
                <w:color w:val="0D0D0D"/>
                <w:spacing w:val="-5"/>
                <w:szCs w:val="24"/>
              </w:rPr>
              <w:t>.</w:t>
            </w:r>
            <w:r w:rsidRPr="003C57C5">
              <w:rPr>
                <w:rFonts w:ascii="Arial" w:hAnsi="Arial" w:cs="Arial"/>
                <w:color w:val="0D0D0D"/>
                <w:spacing w:val="-5"/>
                <w:szCs w:val="24"/>
              </w:rPr>
              <w:t>2</w:t>
            </w:r>
            <w:r w:rsidR="00D671B0" w:rsidRPr="003C57C5">
              <w:rPr>
                <w:rFonts w:ascii="Arial" w:hAnsi="Arial" w:cs="Arial"/>
                <w:color w:val="0D0D0D"/>
                <w:spacing w:val="-5"/>
                <w:szCs w:val="24"/>
              </w:rPr>
              <w:t>5</w:t>
            </w:r>
          </w:p>
        </w:tc>
        <w:tc>
          <w:tcPr>
            <w:tcW w:w="1475" w:type="dxa"/>
            <w:tcBorders>
              <w:top w:val="single" w:sz="4" w:space="0" w:color="auto"/>
              <w:left w:val="single" w:sz="4" w:space="0" w:color="auto"/>
              <w:bottom w:val="single" w:sz="4" w:space="0" w:color="auto"/>
              <w:right w:val="single" w:sz="4" w:space="0" w:color="auto"/>
            </w:tcBorders>
          </w:tcPr>
          <w:p w:rsidR="00183401" w:rsidRPr="003C57C5" w:rsidRDefault="003C57C5" w:rsidP="006A3A39">
            <w:pPr>
              <w:jc w:val="center"/>
              <w:rPr>
                <w:rFonts w:ascii="Arial" w:hAnsi="Arial" w:cs="Arial"/>
                <w:color w:val="0D0D0D"/>
                <w:spacing w:val="-5"/>
                <w:szCs w:val="24"/>
              </w:rPr>
            </w:pPr>
            <w:r w:rsidRPr="003C57C5">
              <w:rPr>
                <w:rFonts w:ascii="Arial" w:hAnsi="Arial" w:cs="Arial"/>
                <w:color w:val="0D0D0D"/>
                <w:spacing w:val="-5"/>
                <w:szCs w:val="24"/>
              </w:rPr>
              <w:t>2</w:t>
            </w:r>
            <w:r w:rsidR="00D671B0" w:rsidRPr="003C57C5">
              <w:rPr>
                <w:rFonts w:ascii="Arial" w:hAnsi="Arial" w:cs="Arial"/>
                <w:color w:val="0D0D0D"/>
                <w:spacing w:val="-5"/>
                <w:szCs w:val="24"/>
              </w:rPr>
              <w:t>.</w:t>
            </w:r>
            <w:r w:rsidR="006A3A39">
              <w:rPr>
                <w:rFonts w:ascii="Arial" w:hAnsi="Arial" w:cs="Arial"/>
                <w:color w:val="0D0D0D"/>
                <w:spacing w:val="-5"/>
                <w:szCs w:val="24"/>
              </w:rPr>
              <w:t>1</w:t>
            </w:r>
            <w:r w:rsidR="00D671B0" w:rsidRPr="003C57C5">
              <w:rPr>
                <w:rFonts w:ascii="Arial" w:hAnsi="Arial" w:cs="Arial"/>
                <w:color w:val="0D0D0D"/>
                <w:spacing w:val="-5"/>
                <w:szCs w:val="24"/>
              </w:rPr>
              <w:t>0</w:t>
            </w:r>
          </w:p>
        </w:tc>
        <w:tc>
          <w:tcPr>
            <w:tcW w:w="1469"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2.</w:t>
            </w:r>
            <w:r w:rsidR="006A3A39">
              <w:rPr>
                <w:rFonts w:ascii="Arial" w:hAnsi="Arial" w:cs="Arial"/>
                <w:color w:val="0D0D0D"/>
                <w:spacing w:val="-5"/>
                <w:szCs w:val="24"/>
              </w:rPr>
              <w:t>6</w:t>
            </w:r>
            <w:r w:rsidRPr="003C57C5">
              <w:rPr>
                <w:rFonts w:ascii="Arial" w:hAnsi="Arial" w:cs="Arial"/>
                <w:color w:val="0D0D0D"/>
                <w:spacing w:val="-5"/>
                <w:szCs w:val="24"/>
              </w:rPr>
              <w:t>0</w:t>
            </w:r>
          </w:p>
        </w:tc>
        <w:tc>
          <w:tcPr>
            <w:tcW w:w="1564"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3.</w:t>
            </w:r>
            <w:r w:rsidR="006A3A39">
              <w:rPr>
                <w:rFonts w:ascii="Arial" w:hAnsi="Arial" w:cs="Arial"/>
                <w:color w:val="0D0D0D"/>
                <w:spacing w:val="-5"/>
                <w:szCs w:val="24"/>
              </w:rPr>
              <w:t>0</w:t>
            </w:r>
            <w:r w:rsidRPr="003C57C5">
              <w:rPr>
                <w:rFonts w:ascii="Arial" w:hAnsi="Arial" w:cs="Arial"/>
                <w:color w:val="0D0D0D"/>
                <w:spacing w:val="-5"/>
                <w:szCs w:val="24"/>
              </w:rPr>
              <w:t>0</w:t>
            </w:r>
          </w:p>
        </w:tc>
        <w:tc>
          <w:tcPr>
            <w:tcW w:w="1662" w:type="dxa"/>
            <w:tcBorders>
              <w:top w:val="single" w:sz="4" w:space="0" w:color="auto"/>
              <w:left w:val="single" w:sz="4" w:space="0" w:color="auto"/>
              <w:bottom w:val="single" w:sz="4" w:space="0" w:color="auto"/>
              <w:right w:val="single" w:sz="4" w:space="0" w:color="auto"/>
            </w:tcBorders>
          </w:tcPr>
          <w:p w:rsidR="00183401" w:rsidRPr="003C57C5" w:rsidRDefault="006A3A39" w:rsidP="006A3A39">
            <w:pPr>
              <w:jc w:val="center"/>
              <w:rPr>
                <w:rFonts w:ascii="Arial" w:hAnsi="Arial" w:cs="Arial"/>
                <w:color w:val="0D0D0D"/>
                <w:spacing w:val="-5"/>
                <w:szCs w:val="24"/>
              </w:rPr>
            </w:pPr>
            <w:r>
              <w:rPr>
                <w:rFonts w:ascii="Arial" w:hAnsi="Arial" w:cs="Arial"/>
                <w:color w:val="0D0D0D"/>
                <w:spacing w:val="-5"/>
                <w:szCs w:val="24"/>
              </w:rPr>
              <w:t>2</w:t>
            </w:r>
            <w:r w:rsidR="00D671B0" w:rsidRPr="003C57C5">
              <w:rPr>
                <w:rFonts w:ascii="Arial" w:hAnsi="Arial" w:cs="Arial"/>
                <w:color w:val="0D0D0D"/>
                <w:spacing w:val="-5"/>
                <w:szCs w:val="24"/>
              </w:rPr>
              <w:t>.</w:t>
            </w:r>
            <w:r>
              <w:rPr>
                <w:rFonts w:ascii="Arial" w:hAnsi="Arial" w:cs="Arial"/>
                <w:color w:val="0D0D0D"/>
                <w:spacing w:val="-5"/>
                <w:szCs w:val="24"/>
              </w:rPr>
              <w:t>8</w:t>
            </w:r>
            <w:r w:rsidR="00D671B0" w:rsidRPr="003C57C5">
              <w:rPr>
                <w:rFonts w:ascii="Arial" w:hAnsi="Arial" w:cs="Arial"/>
                <w:color w:val="0D0D0D"/>
                <w:spacing w:val="-5"/>
                <w:szCs w:val="24"/>
              </w:rPr>
              <w:t>0</w:t>
            </w:r>
          </w:p>
        </w:tc>
      </w:tr>
      <w:tr w:rsidR="006A3A39" w:rsidRPr="00F72C59" w:rsidTr="00183401">
        <w:tc>
          <w:tcPr>
            <w:tcW w:w="1319" w:type="dxa"/>
            <w:tcBorders>
              <w:top w:val="single" w:sz="4" w:space="0" w:color="auto"/>
              <w:left w:val="single" w:sz="4" w:space="0" w:color="auto"/>
              <w:bottom w:val="single" w:sz="4" w:space="0" w:color="auto"/>
              <w:right w:val="single" w:sz="4" w:space="0" w:color="auto"/>
            </w:tcBorders>
            <w:hideMark/>
          </w:tcPr>
          <w:p w:rsidR="00183401" w:rsidRPr="00472B77" w:rsidRDefault="00183401" w:rsidP="003C57C5">
            <w:pPr>
              <w:rPr>
                <w:rFonts w:ascii="Arial" w:hAnsi="Arial" w:cs="Arial"/>
                <w:color w:val="0D0D0D"/>
                <w:spacing w:val="-5"/>
                <w:szCs w:val="24"/>
              </w:rPr>
            </w:pPr>
            <w:r w:rsidRPr="00472B77">
              <w:rPr>
                <w:rFonts w:ascii="Arial" w:hAnsi="Arial" w:cs="Arial"/>
                <w:color w:val="0D0D0D"/>
                <w:szCs w:val="24"/>
              </w:rPr>
              <w:t>Jun 20</w:t>
            </w:r>
            <w:r w:rsidR="003C57C5">
              <w:rPr>
                <w:rFonts w:ascii="Arial" w:hAnsi="Arial" w:cs="Arial"/>
                <w:color w:val="0D0D0D"/>
                <w:szCs w:val="24"/>
              </w:rPr>
              <w:t>20</w:t>
            </w:r>
          </w:p>
        </w:tc>
        <w:tc>
          <w:tcPr>
            <w:tcW w:w="1607" w:type="dxa"/>
            <w:tcBorders>
              <w:top w:val="single" w:sz="4" w:space="0" w:color="auto"/>
              <w:left w:val="single" w:sz="4" w:space="0" w:color="auto"/>
              <w:bottom w:val="single" w:sz="4" w:space="0" w:color="auto"/>
              <w:right w:val="single" w:sz="4" w:space="0" w:color="auto"/>
            </w:tcBorders>
          </w:tcPr>
          <w:p w:rsidR="00183401" w:rsidRPr="003C57C5" w:rsidRDefault="003C57C5" w:rsidP="003C57C5">
            <w:pPr>
              <w:jc w:val="center"/>
              <w:rPr>
                <w:rFonts w:ascii="Arial" w:hAnsi="Arial" w:cs="Arial"/>
                <w:color w:val="0D0D0D"/>
                <w:spacing w:val="-5"/>
                <w:szCs w:val="24"/>
              </w:rPr>
            </w:pPr>
            <w:r w:rsidRPr="003C57C5">
              <w:rPr>
                <w:rFonts w:ascii="Arial" w:hAnsi="Arial" w:cs="Arial"/>
                <w:color w:val="0D0D0D"/>
                <w:spacing w:val="-5"/>
                <w:szCs w:val="24"/>
              </w:rPr>
              <w:t>1</w:t>
            </w:r>
            <w:r w:rsidR="00D671B0" w:rsidRPr="003C57C5">
              <w:rPr>
                <w:rFonts w:ascii="Arial" w:hAnsi="Arial" w:cs="Arial"/>
                <w:color w:val="0D0D0D"/>
                <w:spacing w:val="-5"/>
                <w:szCs w:val="24"/>
              </w:rPr>
              <w:t>.</w:t>
            </w:r>
            <w:r w:rsidRPr="003C57C5">
              <w:rPr>
                <w:rFonts w:ascii="Arial" w:hAnsi="Arial" w:cs="Arial"/>
                <w:color w:val="0D0D0D"/>
                <w:spacing w:val="-5"/>
                <w:szCs w:val="24"/>
              </w:rPr>
              <w:t>2</w:t>
            </w:r>
            <w:r w:rsidR="00D671B0" w:rsidRPr="003C57C5">
              <w:rPr>
                <w:rFonts w:ascii="Arial" w:hAnsi="Arial" w:cs="Arial"/>
                <w:color w:val="0D0D0D"/>
                <w:spacing w:val="-5"/>
                <w:szCs w:val="24"/>
              </w:rPr>
              <w:t>5</w:t>
            </w:r>
          </w:p>
        </w:tc>
        <w:tc>
          <w:tcPr>
            <w:tcW w:w="1475" w:type="dxa"/>
            <w:tcBorders>
              <w:top w:val="single" w:sz="4" w:space="0" w:color="auto"/>
              <w:left w:val="single" w:sz="4" w:space="0" w:color="auto"/>
              <w:bottom w:val="single" w:sz="4" w:space="0" w:color="auto"/>
              <w:right w:val="single" w:sz="4" w:space="0" w:color="auto"/>
            </w:tcBorders>
          </w:tcPr>
          <w:p w:rsidR="00183401" w:rsidRPr="003C57C5" w:rsidRDefault="003C57C5" w:rsidP="006A3A39">
            <w:pPr>
              <w:jc w:val="center"/>
              <w:rPr>
                <w:rFonts w:ascii="Arial" w:hAnsi="Arial" w:cs="Arial"/>
                <w:color w:val="0D0D0D"/>
                <w:spacing w:val="-5"/>
                <w:szCs w:val="24"/>
              </w:rPr>
            </w:pPr>
            <w:r w:rsidRPr="003C57C5">
              <w:rPr>
                <w:rFonts w:ascii="Arial" w:hAnsi="Arial" w:cs="Arial"/>
                <w:color w:val="0D0D0D"/>
                <w:spacing w:val="-5"/>
                <w:szCs w:val="24"/>
              </w:rPr>
              <w:t>2</w:t>
            </w:r>
            <w:r w:rsidR="00D671B0" w:rsidRPr="003C57C5">
              <w:rPr>
                <w:rFonts w:ascii="Arial" w:hAnsi="Arial" w:cs="Arial"/>
                <w:color w:val="0D0D0D"/>
                <w:spacing w:val="-5"/>
                <w:szCs w:val="24"/>
              </w:rPr>
              <w:t>.</w:t>
            </w:r>
            <w:r w:rsidR="006A3A39">
              <w:rPr>
                <w:rFonts w:ascii="Arial" w:hAnsi="Arial" w:cs="Arial"/>
                <w:color w:val="0D0D0D"/>
                <w:spacing w:val="-5"/>
                <w:szCs w:val="24"/>
              </w:rPr>
              <w:t>2</w:t>
            </w:r>
            <w:r w:rsidR="00D671B0" w:rsidRPr="003C57C5">
              <w:rPr>
                <w:rFonts w:ascii="Arial" w:hAnsi="Arial" w:cs="Arial"/>
                <w:color w:val="0D0D0D"/>
                <w:spacing w:val="-5"/>
                <w:szCs w:val="24"/>
              </w:rPr>
              <w:t>0</w:t>
            </w:r>
          </w:p>
        </w:tc>
        <w:tc>
          <w:tcPr>
            <w:tcW w:w="1469"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2.</w:t>
            </w:r>
            <w:r w:rsidR="006A3A39">
              <w:rPr>
                <w:rFonts w:ascii="Arial" w:hAnsi="Arial" w:cs="Arial"/>
                <w:color w:val="0D0D0D"/>
                <w:spacing w:val="-5"/>
                <w:szCs w:val="24"/>
              </w:rPr>
              <w:t>7</w:t>
            </w:r>
            <w:r w:rsidRPr="003C57C5">
              <w:rPr>
                <w:rFonts w:ascii="Arial" w:hAnsi="Arial" w:cs="Arial"/>
                <w:color w:val="0D0D0D"/>
                <w:spacing w:val="-5"/>
                <w:szCs w:val="24"/>
              </w:rPr>
              <w:t>0</w:t>
            </w:r>
          </w:p>
        </w:tc>
        <w:tc>
          <w:tcPr>
            <w:tcW w:w="1564"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3.</w:t>
            </w:r>
            <w:r w:rsidR="006A3A39">
              <w:rPr>
                <w:rFonts w:ascii="Arial" w:hAnsi="Arial" w:cs="Arial"/>
                <w:color w:val="0D0D0D"/>
                <w:spacing w:val="-5"/>
                <w:szCs w:val="24"/>
              </w:rPr>
              <w:t>1</w:t>
            </w:r>
            <w:r w:rsidRPr="003C57C5">
              <w:rPr>
                <w:rFonts w:ascii="Arial" w:hAnsi="Arial" w:cs="Arial"/>
                <w:color w:val="0D0D0D"/>
                <w:spacing w:val="-5"/>
                <w:szCs w:val="24"/>
              </w:rPr>
              <w:t>0</w:t>
            </w:r>
          </w:p>
        </w:tc>
        <w:tc>
          <w:tcPr>
            <w:tcW w:w="1662" w:type="dxa"/>
            <w:tcBorders>
              <w:top w:val="single" w:sz="4" w:space="0" w:color="auto"/>
              <w:left w:val="single" w:sz="4" w:space="0" w:color="auto"/>
              <w:bottom w:val="single" w:sz="4" w:space="0" w:color="auto"/>
              <w:right w:val="single" w:sz="4" w:space="0" w:color="auto"/>
            </w:tcBorders>
          </w:tcPr>
          <w:p w:rsidR="00183401" w:rsidRPr="003C57C5" w:rsidRDefault="006A3A39" w:rsidP="006A3A39">
            <w:pPr>
              <w:jc w:val="center"/>
              <w:rPr>
                <w:rFonts w:ascii="Arial" w:hAnsi="Arial" w:cs="Arial"/>
                <w:color w:val="0D0D0D"/>
                <w:spacing w:val="-5"/>
                <w:szCs w:val="24"/>
              </w:rPr>
            </w:pPr>
            <w:r>
              <w:rPr>
                <w:rFonts w:ascii="Arial" w:hAnsi="Arial" w:cs="Arial"/>
                <w:color w:val="0D0D0D"/>
                <w:spacing w:val="-5"/>
                <w:szCs w:val="24"/>
              </w:rPr>
              <w:t>2</w:t>
            </w:r>
            <w:r w:rsidR="00D671B0" w:rsidRPr="003C57C5">
              <w:rPr>
                <w:rFonts w:ascii="Arial" w:hAnsi="Arial" w:cs="Arial"/>
                <w:color w:val="0D0D0D"/>
                <w:spacing w:val="-5"/>
                <w:szCs w:val="24"/>
              </w:rPr>
              <w:t>.</w:t>
            </w:r>
            <w:r>
              <w:rPr>
                <w:rFonts w:ascii="Arial" w:hAnsi="Arial" w:cs="Arial"/>
                <w:color w:val="0D0D0D"/>
                <w:spacing w:val="-5"/>
                <w:szCs w:val="24"/>
              </w:rPr>
              <w:t>9</w:t>
            </w:r>
            <w:r w:rsidR="00D671B0" w:rsidRPr="003C57C5">
              <w:rPr>
                <w:rFonts w:ascii="Arial" w:hAnsi="Arial" w:cs="Arial"/>
                <w:color w:val="0D0D0D"/>
                <w:spacing w:val="-5"/>
                <w:szCs w:val="24"/>
              </w:rPr>
              <w:t>0</w:t>
            </w:r>
          </w:p>
        </w:tc>
      </w:tr>
      <w:tr w:rsidR="006A3A39" w:rsidRPr="00F72C59" w:rsidTr="00183401">
        <w:tc>
          <w:tcPr>
            <w:tcW w:w="1319" w:type="dxa"/>
            <w:tcBorders>
              <w:top w:val="single" w:sz="4" w:space="0" w:color="auto"/>
              <w:left w:val="single" w:sz="4" w:space="0" w:color="auto"/>
              <w:bottom w:val="single" w:sz="4" w:space="0" w:color="auto"/>
              <w:right w:val="single" w:sz="4" w:space="0" w:color="auto"/>
            </w:tcBorders>
            <w:hideMark/>
          </w:tcPr>
          <w:p w:rsidR="00183401" w:rsidRPr="00472B77" w:rsidRDefault="00183401" w:rsidP="003C57C5">
            <w:pPr>
              <w:rPr>
                <w:rFonts w:ascii="Arial" w:hAnsi="Arial" w:cs="Arial"/>
                <w:color w:val="0D0D0D"/>
                <w:spacing w:val="-5"/>
                <w:szCs w:val="24"/>
              </w:rPr>
            </w:pPr>
            <w:r w:rsidRPr="00472B77">
              <w:rPr>
                <w:rFonts w:ascii="Arial" w:hAnsi="Arial" w:cs="Arial"/>
                <w:color w:val="0D0D0D"/>
                <w:szCs w:val="24"/>
              </w:rPr>
              <w:t>Sep 20</w:t>
            </w:r>
            <w:r w:rsidR="003C57C5">
              <w:rPr>
                <w:rFonts w:ascii="Arial" w:hAnsi="Arial" w:cs="Arial"/>
                <w:color w:val="0D0D0D"/>
                <w:szCs w:val="24"/>
              </w:rPr>
              <w:t>20</w:t>
            </w:r>
          </w:p>
        </w:tc>
        <w:tc>
          <w:tcPr>
            <w:tcW w:w="1607" w:type="dxa"/>
            <w:tcBorders>
              <w:top w:val="single" w:sz="4" w:space="0" w:color="auto"/>
              <w:left w:val="single" w:sz="4" w:space="0" w:color="auto"/>
              <w:bottom w:val="single" w:sz="4" w:space="0" w:color="auto"/>
              <w:right w:val="single" w:sz="4" w:space="0" w:color="auto"/>
            </w:tcBorders>
          </w:tcPr>
          <w:p w:rsidR="00183401" w:rsidRPr="003C57C5" w:rsidRDefault="003C57C5" w:rsidP="003C57C5">
            <w:pPr>
              <w:jc w:val="center"/>
              <w:rPr>
                <w:rFonts w:ascii="Arial" w:hAnsi="Arial" w:cs="Arial"/>
                <w:color w:val="0D0D0D"/>
                <w:spacing w:val="-5"/>
                <w:szCs w:val="24"/>
              </w:rPr>
            </w:pPr>
            <w:r w:rsidRPr="003C57C5">
              <w:rPr>
                <w:rFonts w:ascii="Arial" w:hAnsi="Arial" w:cs="Arial"/>
                <w:color w:val="0D0D0D"/>
                <w:spacing w:val="-5"/>
                <w:szCs w:val="24"/>
              </w:rPr>
              <w:t>1</w:t>
            </w:r>
            <w:r w:rsidR="00D671B0" w:rsidRPr="003C57C5">
              <w:rPr>
                <w:rFonts w:ascii="Arial" w:hAnsi="Arial" w:cs="Arial"/>
                <w:color w:val="0D0D0D"/>
                <w:spacing w:val="-5"/>
                <w:szCs w:val="24"/>
              </w:rPr>
              <w:t>.</w:t>
            </w:r>
            <w:r w:rsidRPr="003C57C5">
              <w:rPr>
                <w:rFonts w:ascii="Arial" w:hAnsi="Arial" w:cs="Arial"/>
                <w:color w:val="0D0D0D"/>
                <w:spacing w:val="-5"/>
                <w:szCs w:val="24"/>
              </w:rPr>
              <w:t>2</w:t>
            </w:r>
            <w:r w:rsidR="00D671B0" w:rsidRPr="003C57C5">
              <w:rPr>
                <w:rFonts w:ascii="Arial" w:hAnsi="Arial" w:cs="Arial"/>
                <w:color w:val="0D0D0D"/>
                <w:spacing w:val="-5"/>
                <w:szCs w:val="24"/>
              </w:rPr>
              <w:t>5</w:t>
            </w:r>
          </w:p>
        </w:tc>
        <w:tc>
          <w:tcPr>
            <w:tcW w:w="1475" w:type="dxa"/>
            <w:tcBorders>
              <w:top w:val="single" w:sz="4" w:space="0" w:color="auto"/>
              <w:left w:val="single" w:sz="4" w:space="0" w:color="auto"/>
              <w:bottom w:val="single" w:sz="4" w:space="0" w:color="auto"/>
              <w:right w:val="single" w:sz="4" w:space="0" w:color="auto"/>
            </w:tcBorders>
          </w:tcPr>
          <w:p w:rsidR="00183401" w:rsidRPr="003C57C5" w:rsidRDefault="003C57C5" w:rsidP="006A3A39">
            <w:pPr>
              <w:jc w:val="center"/>
              <w:rPr>
                <w:rFonts w:ascii="Arial" w:hAnsi="Arial" w:cs="Arial"/>
                <w:color w:val="0D0D0D"/>
                <w:spacing w:val="-5"/>
                <w:szCs w:val="24"/>
              </w:rPr>
            </w:pPr>
            <w:r w:rsidRPr="003C57C5">
              <w:rPr>
                <w:rFonts w:ascii="Arial" w:hAnsi="Arial" w:cs="Arial"/>
                <w:color w:val="0D0D0D"/>
                <w:spacing w:val="-5"/>
                <w:szCs w:val="24"/>
              </w:rPr>
              <w:t>2</w:t>
            </w:r>
            <w:r w:rsidR="00D671B0" w:rsidRPr="003C57C5">
              <w:rPr>
                <w:rFonts w:ascii="Arial" w:hAnsi="Arial" w:cs="Arial"/>
                <w:color w:val="0D0D0D"/>
                <w:spacing w:val="-5"/>
                <w:szCs w:val="24"/>
              </w:rPr>
              <w:t>.</w:t>
            </w:r>
            <w:r w:rsidR="006A3A39">
              <w:rPr>
                <w:rFonts w:ascii="Arial" w:hAnsi="Arial" w:cs="Arial"/>
                <w:color w:val="0D0D0D"/>
                <w:spacing w:val="-5"/>
                <w:szCs w:val="24"/>
              </w:rPr>
              <w:t>3</w:t>
            </w:r>
            <w:r w:rsidR="00D671B0" w:rsidRPr="003C57C5">
              <w:rPr>
                <w:rFonts w:ascii="Arial" w:hAnsi="Arial" w:cs="Arial"/>
                <w:color w:val="0D0D0D"/>
                <w:spacing w:val="-5"/>
                <w:szCs w:val="24"/>
              </w:rPr>
              <w:t>0</w:t>
            </w:r>
          </w:p>
        </w:tc>
        <w:tc>
          <w:tcPr>
            <w:tcW w:w="1469"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2.</w:t>
            </w:r>
            <w:r w:rsidR="006A3A39">
              <w:rPr>
                <w:rFonts w:ascii="Arial" w:hAnsi="Arial" w:cs="Arial"/>
                <w:color w:val="0D0D0D"/>
                <w:spacing w:val="-5"/>
                <w:szCs w:val="24"/>
              </w:rPr>
              <w:t>7</w:t>
            </w:r>
            <w:r w:rsidRPr="003C57C5">
              <w:rPr>
                <w:rFonts w:ascii="Arial" w:hAnsi="Arial" w:cs="Arial"/>
                <w:color w:val="0D0D0D"/>
                <w:spacing w:val="-5"/>
                <w:szCs w:val="24"/>
              </w:rPr>
              <w:t>0</w:t>
            </w:r>
          </w:p>
        </w:tc>
        <w:tc>
          <w:tcPr>
            <w:tcW w:w="1564"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3.</w:t>
            </w:r>
            <w:r w:rsidR="006A3A39">
              <w:rPr>
                <w:rFonts w:ascii="Arial" w:hAnsi="Arial" w:cs="Arial"/>
                <w:color w:val="0D0D0D"/>
                <w:spacing w:val="-5"/>
                <w:szCs w:val="24"/>
              </w:rPr>
              <w:t>1</w:t>
            </w:r>
            <w:r w:rsidRPr="003C57C5">
              <w:rPr>
                <w:rFonts w:ascii="Arial" w:hAnsi="Arial" w:cs="Arial"/>
                <w:color w:val="0D0D0D"/>
                <w:spacing w:val="-5"/>
                <w:szCs w:val="24"/>
              </w:rPr>
              <w:t>0</w:t>
            </w:r>
          </w:p>
        </w:tc>
        <w:tc>
          <w:tcPr>
            <w:tcW w:w="1662" w:type="dxa"/>
            <w:tcBorders>
              <w:top w:val="single" w:sz="4" w:space="0" w:color="auto"/>
              <w:left w:val="single" w:sz="4" w:space="0" w:color="auto"/>
              <w:bottom w:val="single" w:sz="4" w:space="0" w:color="auto"/>
              <w:right w:val="single" w:sz="4" w:space="0" w:color="auto"/>
            </w:tcBorders>
          </w:tcPr>
          <w:p w:rsidR="00183401" w:rsidRPr="003C57C5" w:rsidRDefault="006A3A39" w:rsidP="006A3A39">
            <w:pPr>
              <w:jc w:val="center"/>
              <w:rPr>
                <w:rFonts w:ascii="Arial" w:hAnsi="Arial" w:cs="Arial"/>
                <w:color w:val="0D0D0D"/>
                <w:spacing w:val="-5"/>
                <w:szCs w:val="24"/>
              </w:rPr>
            </w:pPr>
            <w:r>
              <w:rPr>
                <w:rFonts w:ascii="Arial" w:hAnsi="Arial" w:cs="Arial"/>
                <w:color w:val="0D0D0D"/>
                <w:spacing w:val="-5"/>
                <w:szCs w:val="24"/>
              </w:rPr>
              <w:t>2</w:t>
            </w:r>
            <w:r w:rsidR="00D671B0" w:rsidRPr="003C57C5">
              <w:rPr>
                <w:rFonts w:ascii="Arial" w:hAnsi="Arial" w:cs="Arial"/>
                <w:color w:val="0D0D0D"/>
                <w:spacing w:val="-5"/>
                <w:szCs w:val="24"/>
              </w:rPr>
              <w:t>.</w:t>
            </w:r>
            <w:r>
              <w:rPr>
                <w:rFonts w:ascii="Arial" w:hAnsi="Arial" w:cs="Arial"/>
                <w:color w:val="0D0D0D"/>
                <w:spacing w:val="-5"/>
                <w:szCs w:val="24"/>
              </w:rPr>
              <w:t>9</w:t>
            </w:r>
            <w:r w:rsidR="00D671B0" w:rsidRPr="003C57C5">
              <w:rPr>
                <w:rFonts w:ascii="Arial" w:hAnsi="Arial" w:cs="Arial"/>
                <w:color w:val="0D0D0D"/>
                <w:spacing w:val="-5"/>
                <w:szCs w:val="24"/>
              </w:rPr>
              <w:t>0</w:t>
            </w:r>
          </w:p>
        </w:tc>
      </w:tr>
      <w:tr w:rsidR="006A3A39" w:rsidRPr="00F72C59" w:rsidTr="00183401">
        <w:tc>
          <w:tcPr>
            <w:tcW w:w="1319" w:type="dxa"/>
            <w:tcBorders>
              <w:top w:val="single" w:sz="4" w:space="0" w:color="auto"/>
              <w:left w:val="single" w:sz="4" w:space="0" w:color="auto"/>
              <w:bottom w:val="single" w:sz="4" w:space="0" w:color="auto"/>
              <w:right w:val="single" w:sz="4" w:space="0" w:color="auto"/>
            </w:tcBorders>
            <w:hideMark/>
          </w:tcPr>
          <w:p w:rsidR="00183401" w:rsidRPr="00472B77" w:rsidRDefault="00183401" w:rsidP="003C57C5">
            <w:pPr>
              <w:rPr>
                <w:rFonts w:ascii="Arial" w:hAnsi="Arial" w:cs="Arial"/>
                <w:color w:val="0D0D0D"/>
                <w:spacing w:val="-5"/>
                <w:szCs w:val="24"/>
              </w:rPr>
            </w:pPr>
            <w:r w:rsidRPr="00472B77">
              <w:rPr>
                <w:rFonts w:ascii="Arial" w:hAnsi="Arial" w:cs="Arial"/>
                <w:color w:val="0D0D0D"/>
                <w:szCs w:val="24"/>
              </w:rPr>
              <w:t>Dec 20</w:t>
            </w:r>
            <w:r w:rsidR="003C57C5">
              <w:rPr>
                <w:rFonts w:ascii="Arial" w:hAnsi="Arial" w:cs="Arial"/>
                <w:color w:val="0D0D0D"/>
                <w:szCs w:val="24"/>
              </w:rPr>
              <w:t>20</w:t>
            </w:r>
          </w:p>
        </w:tc>
        <w:tc>
          <w:tcPr>
            <w:tcW w:w="1607" w:type="dxa"/>
            <w:tcBorders>
              <w:top w:val="single" w:sz="4" w:space="0" w:color="auto"/>
              <w:left w:val="single" w:sz="4" w:space="0" w:color="auto"/>
              <w:bottom w:val="single" w:sz="4" w:space="0" w:color="auto"/>
              <w:right w:val="single" w:sz="4" w:space="0" w:color="auto"/>
            </w:tcBorders>
          </w:tcPr>
          <w:p w:rsidR="00183401" w:rsidRPr="003C57C5" w:rsidRDefault="003C57C5" w:rsidP="003C57C5">
            <w:pPr>
              <w:jc w:val="center"/>
              <w:rPr>
                <w:rFonts w:ascii="Arial" w:hAnsi="Arial" w:cs="Arial"/>
                <w:color w:val="0D0D0D"/>
                <w:spacing w:val="-5"/>
                <w:szCs w:val="24"/>
              </w:rPr>
            </w:pPr>
            <w:r w:rsidRPr="003C57C5">
              <w:rPr>
                <w:rFonts w:ascii="Arial" w:hAnsi="Arial" w:cs="Arial"/>
                <w:color w:val="0D0D0D"/>
                <w:spacing w:val="-5"/>
                <w:szCs w:val="24"/>
              </w:rPr>
              <w:t>1</w:t>
            </w:r>
            <w:r w:rsidR="00D671B0" w:rsidRPr="003C57C5">
              <w:rPr>
                <w:rFonts w:ascii="Arial" w:hAnsi="Arial" w:cs="Arial"/>
                <w:color w:val="0D0D0D"/>
                <w:spacing w:val="-5"/>
                <w:szCs w:val="24"/>
              </w:rPr>
              <w:t>.</w:t>
            </w:r>
            <w:r w:rsidRPr="003C57C5">
              <w:rPr>
                <w:rFonts w:ascii="Arial" w:hAnsi="Arial" w:cs="Arial"/>
                <w:color w:val="0D0D0D"/>
                <w:spacing w:val="-5"/>
                <w:szCs w:val="24"/>
              </w:rPr>
              <w:t>50</w:t>
            </w:r>
          </w:p>
        </w:tc>
        <w:tc>
          <w:tcPr>
            <w:tcW w:w="1475"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2.</w:t>
            </w:r>
            <w:r w:rsidR="006A3A39">
              <w:rPr>
                <w:rFonts w:ascii="Arial" w:hAnsi="Arial" w:cs="Arial"/>
                <w:color w:val="0D0D0D"/>
                <w:spacing w:val="-5"/>
                <w:szCs w:val="24"/>
              </w:rPr>
              <w:t>3</w:t>
            </w:r>
            <w:r w:rsidRPr="003C57C5">
              <w:rPr>
                <w:rFonts w:ascii="Arial" w:hAnsi="Arial" w:cs="Arial"/>
                <w:color w:val="0D0D0D"/>
                <w:spacing w:val="-5"/>
                <w:szCs w:val="24"/>
              </w:rPr>
              <w:t>0</w:t>
            </w:r>
          </w:p>
        </w:tc>
        <w:tc>
          <w:tcPr>
            <w:tcW w:w="1469" w:type="dxa"/>
            <w:tcBorders>
              <w:top w:val="single" w:sz="4" w:space="0" w:color="auto"/>
              <w:left w:val="single" w:sz="4" w:space="0" w:color="auto"/>
              <w:bottom w:val="single" w:sz="4" w:space="0" w:color="auto"/>
              <w:right w:val="single" w:sz="4" w:space="0" w:color="auto"/>
            </w:tcBorders>
          </w:tcPr>
          <w:p w:rsidR="00183401" w:rsidRPr="003C57C5" w:rsidRDefault="006A3A39" w:rsidP="006A3A39">
            <w:pPr>
              <w:jc w:val="center"/>
              <w:rPr>
                <w:rFonts w:ascii="Arial" w:hAnsi="Arial" w:cs="Arial"/>
                <w:color w:val="0D0D0D"/>
                <w:spacing w:val="-5"/>
                <w:szCs w:val="24"/>
              </w:rPr>
            </w:pPr>
            <w:r>
              <w:rPr>
                <w:rFonts w:ascii="Arial" w:hAnsi="Arial" w:cs="Arial"/>
                <w:color w:val="0D0D0D"/>
                <w:spacing w:val="-5"/>
                <w:szCs w:val="24"/>
              </w:rPr>
              <w:t>2</w:t>
            </w:r>
            <w:r w:rsidR="00D671B0" w:rsidRPr="003C57C5">
              <w:rPr>
                <w:rFonts w:ascii="Arial" w:hAnsi="Arial" w:cs="Arial"/>
                <w:color w:val="0D0D0D"/>
                <w:spacing w:val="-5"/>
                <w:szCs w:val="24"/>
              </w:rPr>
              <w:t>.</w:t>
            </w:r>
            <w:r>
              <w:rPr>
                <w:rFonts w:ascii="Arial" w:hAnsi="Arial" w:cs="Arial"/>
                <w:color w:val="0D0D0D"/>
                <w:spacing w:val="-5"/>
                <w:szCs w:val="24"/>
              </w:rPr>
              <w:t>8</w:t>
            </w:r>
            <w:r w:rsidR="00D671B0" w:rsidRPr="003C57C5">
              <w:rPr>
                <w:rFonts w:ascii="Arial" w:hAnsi="Arial" w:cs="Arial"/>
                <w:color w:val="0D0D0D"/>
                <w:spacing w:val="-5"/>
                <w:szCs w:val="24"/>
              </w:rPr>
              <w:t>0</w:t>
            </w:r>
          </w:p>
        </w:tc>
        <w:tc>
          <w:tcPr>
            <w:tcW w:w="1564"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3.</w:t>
            </w:r>
            <w:r w:rsidR="006A3A39">
              <w:rPr>
                <w:rFonts w:ascii="Arial" w:hAnsi="Arial" w:cs="Arial"/>
                <w:color w:val="0D0D0D"/>
                <w:spacing w:val="-5"/>
                <w:szCs w:val="24"/>
              </w:rPr>
              <w:t>2</w:t>
            </w:r>
            <w:r w:rsidRPr="003C57C5">
              <w:rPr>
                <w:rFonts w:ascii="Arial" w:hAnsi="Arial" w:cs="Arial"/>
                <w:color w:val="0D0D0D"/>
                <w:spacing w:val="-5"/>
                <w:szCs w:val="24"/>
              </w:rPr>
              <w:t>0</w:t>
            </w:r>
          </w:p>
        </w:tc>
        <w:tc>
          <w:tcPr>
            <w:tcW w:w="1662"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3.</w:t>
            </w:r>
            <w:r w:rsidR="006A3A39">
              <w:rPr>
                <w:rFonts w:ascii="Arial" w:hAnsi="Arial" w:cs="Arial"/>
                <w:color w:val="0D0D0D"/>
                <w:spacing w:val="-5"/>
                <w:szCs w:val="24"/>
              </w:rPr>
              <w:t>0</w:t>
            </w:r>
            <w:r w:rsidRPr="003C57C5">
              <w:rPr>
                <w:rFonts w:ascii="Arial" w:hAnsi="Arial" w:cs="Arial"/>
                <w:color w:val="0D0D0D"/>
                <w:spacing w:val="-5"/>
                <w:szCs w:val="24"/>
              </w:rPr>
              <w:t>0</w:t>
            </w:r>
          </w:p>
        </w:tc>
      </w:tr>
      <w:tr w:rsidR="006A3A39" w:rsidRPr="00F72C59" w:rsidTr="00183401">
        <w:tc>
          <w:tcPr>
            <w:tcW w:w="1319" w:type="dxa"/>
            <w:tcBorders>
              <w:top w:val="single" w:sz="4" w:space="0" w:color="auto"/>
              <w:left w:val="single" w:sz="4" w:space="0" w:color="auto"/>
              <w:bottom w:val="single" w:sz="4" w:space="0" w:color="auto"/>
              <w:right w:val="single" w:sz="4" w:space="0" w:color="auto"/>
            </w:tcBorders>
            <w:hideMark/>
          </w:tcPr>
          <w:p w:rsidR="00183401" w:rsidRPr="00472B77" w:rsidRDefault="00183401" w:rsidP="005804A2">
            <w:pPr>
              <w:rPr>
                <w:rFonts w:ascii="Arial" w:hAnsi="Arial" w:cs="Arial"/>
                <w:color w:val="0D0D0D"/>
                <w:spacing w:val="-5"/>
                <w:szCs w:val="24"/>
              </w:rPr>
            </w:pPr>
            <w:r w:rsidRPr="00472B77">
              <w:rPr>
                <w:rFonts w:ascii="Arial" w:hAnsi="Arial" w:cs="Arial"/>
                <w:color w:val="0D0D0D"/>
                <w:szCs w:val="24"/>
              </w:rPr>
              <w:t>Mar 20</w:t>
            </w:r>
            <w:r w:rsidR="000C1EE0" w:rsidRPr="00472B77">
              <w:rPr>
                <w:rFonts w:ascii="Arial" w:hAnsi="Arial" w:cs="Arial"/>
                <w:color w:val="0D0D0D"/>
                <w:szCs w:val="24"/>
              </w:rPr>
              <w:t>2</w:t>
            </w:r>
            <w:r w:rsidR="00472B77" w:rsidRPr="00472B77">
              <w:rPr>
                <w:rFonts w:ascii="Arial" w:hAnsi="Arial" w:cs="Arial"/>
                <w:color w:val="0D0D0D"/>
                <w:szCs w:val="24"/>
              </w:rPr>
              <w:t>1</w:t>
            </w:r>
          </w:p>
        </w:tc>
        <w:tc>
          <w:tcPr>
            <w:tcW w:w="1607" w:type="dxa"/>
            <w:tcBorders>
              <w:top w:val="single" w:sz="4" w:space="0" w:color="auto"/>
              <w:left w:val="single" w:sz="4" w:space="0" w:color="auto"/>
              <w:bottom w:val="single" w:sz="4" w:space="0" w:color="auto"/>
              <w:right w:val="single" w:sz="4" w:space="0" w:color="auto"/>
            </w:tcBorders>
          </w:tcPr>
          <w:p w:rsidR="00183401" w:rsidRPr="003C57C5" w:rsidRDefault="00D671B0" w:rsidP="003C57C5">
            <w:pPr>
              <w:jc w:val="center"/>
              <w:rPr>
                <w:rFonts w:ascii="Arial" w:hAnsi="Arial" w:cs="Arial"/>
                <w:color w:val="0D0D0D"/>
                <w:spacing w:val="-5"/>
                <w:szCs w:val="24"/>
              </w:rPr>
            </w:pPr>
            <w:r w:rsidRPr="003C57C5">
              <w:rPr>
                <w:rFonts w:ascii="Arial" w:hAnsi="Arial" w:cs="Arial"/>
                <w:color w:val="0D0D0D"/>
                <w:spacing w:val="-5"/>
                <w:szCs w:val="24"/>
              </w:rPr>
              <w:t>1.</w:t>
            </w:r>
            <w:r w:rsidR="003C57C5" w:rsidRPr="003C57C5">
              <w:rPr>
                <w:rFonts w:ascii="Arial" w:hAnsi="Arial" w:cs="Arial"/>
                <w:color w:val="0D0D0D"/>
                <w:spacing w:val="-5"/>
                <w:szCs w:val="24"/>
              </w:rPr>
              <w:t>5</w:t>
            </w:r>
            <w:r w:rsidRPr="003C57C5">
              <w:rPr>
                <w:rFonts w:ascii="Arial" w:hAnsi="Arial" w:cs="Arial"/>
                <w:color w:val="0D0D0D"/>
                <w:spacing w:val="-5"/>
                <w:szCs w:val="24"/>
              </w:rPr>
              <w:t>0</w:t>
            </w:r>
          </w:p>
        </w:tc>
        <w:tc>
          <w:tcPr>
            <w:tcW w:w="1475"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2.</w:t>
            </w:r>
            <w:r w:rsidR="006A3A39">
              <w:rPr>
                <w:rFonts w:ascii="Arial" w:hAnsi="Arial" w:cs="Arial"/>
                <w:color w:val="0D0D0D"/>
                <w:spacing w:val="-5"/>
                <w:szCs w:val="24"/>
              </w:rPr>
              <w:t>4</w:t>
            </w:r>
            <w:r w:rsidRPr="003C57C5">
              <w:rPr>
                <w:rFonts w:ascii="Arial" w:hAnsi="Arial" w:cs="Arial"/>
                <w:color w:val="0D0D0D"/>
                <w:spacing w:val="-5"/>
                <w:szCs w:val="24"/>
              </w:rPr>
              <w:t>0</w:t>
            </w:r>
          </w:p>
        </w:tc>
        <w:tc>
          <w:tcPr>
            <w:tcW w:w="1469" w:type="dxa"/>
            <w:tcBorders>
              <w:top w:val="single" w:sz="4" w:space="0" w:color="auto"/>
              <w:left w:val="single" w:sz="4" w:space="0" w:color="auto"/>
              <w:bottom w:val="single" w:sz="4" w:space="0" w:color="auto"/>
              <w:right w:val="single" w:sz="4" w:space="0" w:color="auto"/>
            </w:tcBorders>
          </w:tcPr>
          <w:p w:rsidR="00183401" w:rsidRPr="003C57C5" w:rsidRDefault="006A3A39" w:rsidP="006A3A39">
            <w:pPr>
              <w:jc w:val="center"/>
              <w:rPr>
                <w:rFonts w:ascii="Arial" w:hAnsi="Arial" w:cs="Arial"/>
                <w:color w:val="0D0D0D"/>
                <w:spacing w:val="-5"/>
                <w:szCs w:val="24"/>
              </w:rPr>
            </w:pPr>
            <w:r>
              <w:rPr>
                <w:rFonts w:ascii="Arial" w:hAnsi="Arial" w:cs="Arial"/>
                <w:color w:val="0D0D0D"/>
                <w:spacing w:val="-5"/>
                <w:szCs w:val="24"/>
              </w:rPr>
              <w:t>2</w:t>
            </w:r>
            <w:r w:rsidR="00D671B0" w:rsidRPr="003C57C5">
              <w:rPr>
                <w:rFonts w:ascii="Arial" w:hAnsi="Arial" w:cs="Arial"/>
                <w:color w:val="0D0D0D"/>
                <w:spacing w:val="-5"/>
                <w:szCs w:val="24"/>
              </w:rPr>
              <w:t>.</w:t>
            </w:r>
            <w:r>
              <w:rPr>
                <w:rFonts w:ascii="Arial" w:hAnsi="Arial" w:cs="Arial"/>
                <w:color w:val="0D0D0D"/>
                <w:spacing w:val="-5"/>
                <w:szCs w:val="24"/>
              </w:rPr>
              <w:t>8</w:t>
            </w:r>
            <w:r w:rsidR="00D671B0" w:rsidRPr="003C57C5">
              <w:rPr>
                <w:rFonts w:ascii="Arial" w:hAnsi="Arial" w:cs="Arial"/>
                <w:color w:val="0D0D0D"/>
                <w:spacing w:val="-5"/>
                <w:szCs w:val="24"/>
              </w:rPr>
              <w:t>0</w:t>
            </w:r>
          </w:p>
        </w:tc>
        <w:tc>
          <w:tcPr>
            <w:tcW w:w="1564"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3.</w:t>
            </w:r>
            <w:r w:rsidR="006A3A39">
              <w:rPr>
                <w:rFonts w:ascii="Arial" w:hAnsi="Arial" w:cs="Arial"/>
                <w:color w:val="0D0D0D"/>
                <w:spacing w:val="-5"/>
                <w:szCs w:val="24"/>
              </w:rPr>
              <w:t>2</w:t>
            </w:r>
            <w:r w:rsidRPr="003C57C5">
              <w:rPr>
                <w:rFonts w:ascii="Arial" w:hAnsi="Arial" w:cs="Arial"/>
                <w:color w:val="0D0D0D"/>
                <w:spacing w:val="-5"/>
                <w:szCs w:val="24"/>
              </w:rPr>
              <w:t>0</w:t>
            </w:r>
          </w:p>
        </w:tc>
        <w:tc>
          <w:tcPr>
            <w:tcW w:w="1662"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3.</w:t>
            </w:r>
            <w:r w:rsidR="006A3A39">
              <w:rPr>
                <w:rFonts w:ascii="Arial" w:hAnsi="Arial" w:cs="Arial"/>
                <w:color w:val="0D0D0D"/>
                <w:spacing w:val="-5"/>
                <w:szCs w:val="24"/>
              </w:rPr>
              <w:t>0</w:t>
            </w:r>
            <w:r w:rsidRPr="003C57C5">
              <w:rPr>
                <w:rFonts w:ascii="Arial" w:hAnsi="Arial" w:cs="Arial"/>
                <w:color w:val="0D0D0D"/>
                <w:spacing w:val="-5"/>
                <w:szCs w:val="24"/>
              </w:rPr>
              <w:t>0</w:t>
            </w:r>
          </w:p>
        </w:tc>
      </w:tr>
      <w:tr w:rsidR="006A3A39" w:rsidRPr="00F72C59" w:rsidTr="00183401">
        <w:tc>
          <w:tcPr>
            <w:tcW w:w="1319" w:type="dxa"/>
            <w:tcBorders>
              <w:top w:val="single" w:sz="4" w:space="0" w:color="auto"/>
              <w:left w:val="single" w:sz="4" w:space="0" w:color="auto"/>
              <w:bottom w:val="single" w:sz="4" w:space="0" w:color="auto"/>
              <w:right w:val="single" w:sz="4" w:space="0" w:color="auto"/>
            </w:tcBorders>
            <w:hideMark/>
          </w:tcPr>
          <w:p w:rsidR="00183401" w:rsidRPr="00472B77" w:rsidRDefault="00183401" w:rsidP="005804A2">
            <w:pPr>
              <w:rPr>
                <w:rFonts w:ascii="Arial" w:hAnsi="Arial" w:cs="Arial"/>
                <w:color w:val="0D0D0D"/>
                <w:spacing w:val="-5"/>
                <w:szCs w:val="24"/>
              </w:rPr>
            </w:pPr>
            <w:r w:rsidRPr="00472B77">
              <w:rPr>
                <w:rFonts w:ascii="Arial" w:hAnsi="Arial" w:cs="Arial"/>
                <w:color w:val="0D0D0D"/>
                <w:szCs w:val="24"/>
              </w:rPr>
              <w:t>Jun 20</w:t>
            </w:r>
            <w:r w:rsidR="000C1EE0" w:rsidRPr="00472B77">
              <w:rPr>
                <w:rFonts w:ascii="Arial" w:hAnsi="Arial" w:cs="Arial"/>
                <w:color w:val="0D0D0D"/>
                <w:szCs w:val="24"/>
              </w:rPr>
              <w:t>2</w:t>
            </w:r>
            <w:r w:rsidR="00472B77" w:rsidRPr="00472B77">
              <w:rPr>
                <w:rFonts w:ascii="Arial" w:hAnsi="Arial" w:cs="Arial"/>
                <w:color w:val="0D0D0D"/>
                <w:szCs w:val="24"/>
              </w:rPr>
              <w:t>1</w:t>
            </w:r>
          </w:p>
        </w:tc>
        <w:tc>
          <w:tcPr>
            <w:tcW w:w="1607" w:type="dxa"/>
            <w:tcBorders>
              <w:top w:val="single" w:sz="4" w:space="0" w:color="auto"/>
              <w:left w:val="single" w:sz="4" w:space="0" w:color="auto"/>
              <w:bottom w:val="single" w:sz="4" w:space="0" w:color="auto"/>
              <w:right w:val="single" w:sz="4" w:space="0" w:color="auto"/>
            </w:tcBorders>
          </w:tcPr>
          <w:p w:rsidR="00183401" w:rsidRPr="003C57C5" w:rsidRDefault="00D671B0" w:rsidP="003C57C5">
            <w:pPr>
              <w:jc w:val="center"/>
              <w:rPr>
                <w:rFonts w:ascii="Arial" w:hAnsi="Arial" w:cs="Arial"/>
                <w:color w:val="0D0D0D"/>
                <w:spacing w:val="-5"/>
                <w:szCs w:val="24"/>
              </w:rPr>
            </w:pPr>
            <w:r w:rsidRPr="003C57C5">
              <w:rPr>
                <w:rFonts w:ascii="Arial" w:hAnsi="Arial" w:cs="Arial"/>
                <w:color w:val="0D0D0D"/>
                <w:spacing w:val="-5"/>
                <w:szCs w:val="24"/>
              </w:rPr>
              <w:t>1.</w:t>
            </w:r>
            <w:r w:rsidR="003C57C5" w:rsidRPr="003C57C5">
              <w:rPr>
                <w:rFonts w:ascii="Arial" w:hAnsi="Arial" w:cs="Arial"/>
                <w:color w:val="0D0D0D"/>
                <w:spacing w:val="-5"/>
                <w:szCs w:val="24"/>
              </w:rPr>
              <w:t>75</w:t>
            </w:r>
          </w:p>
        </w:tc>
        <w:tc>
          <w:tcPr>
            <w:tcW w:w="1475"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2.</w:t>
            </w:r>
            <w:r w:rsidR="006A3A39">
              <w:rPr>
                <w:rFonts w:ascii="Arial" w:hAnsi="Arial" w:cs="Arial"/>
                <w:color w:val="0D0D0D"/>
                <w:spacing w:val="-5"/>
                <w:szCs w:val="24"/>
              </w:rPr>
              <w:t>4</w:t>
            </w:r>
            <w:r w:rsidRPr="003C57C5">
              <w:rPr>
                <w:rFonts w:ascii="Arial" w:hAnsi="Arial" w:cs="Arial"/>
                <w:color w:val="0D0D0D"/>
                <w:spacing w:val="-5"/>
                <w:szCs w:val="24"/>
              </w:rPr>
              <w:t>0</w:t>
            </w:r>
          </w:p>
        </w:tc>
        <w:tc>
          <w:tcPr>
            <w:tcW w:w="1469" w:type="dxa"/>
            <w:tcBorders>
              <w:top w:val="single" w:sz="4" w:space="0" w:color="auto"/>
              <w:left w:val="single" w:sz="4" w:space="0" w:color="auto"/>
              <w:bottom w:val="single" w:sz="4" w:space="0" w:color="auto"/>
              <w:right w:val="single" w:sz="4" w:space="0" w:color="auto"/>
            </w:tcBorders>
          </w:tcPr>
          <w:p w:rsidR="00183401" w:rsidRPr="003C57C5" w:rsidRDefault="006A3A39" w:rsidP="006A3A39">
            <w:pPr>
              <w:jc w:val="center"/>
              <w:rPr>
                <w:rFonts w:ascii="Arial" w:hAnsi="Arial" w:cs="Arial"/>
                <w:color w:val="0D0D0D"/>
                <w:spacing w:val="-5"/>
                <w:szCs w:val="24"/>
              </w:rPr>
            </w:pPr>
            <w:r>
              <w:rPr>
                <w:rFonts w:ascii="Arial" w:hAnsi="Arial" w:cs="Arial"/>
                <w:color w:val="0D0D0D"/>
                <w:spacing w:val="-5"/>
                <w:szCs w:val="24"/>
              </w:rPr>
              <w:t>2</w:t>
            </w:r>
            <w:r w:rsidR="00D671B0" w:rsidRPr="003C57C5">
              <w:rPr>
                <w:rFonts w:ascii="Arial" w:hAnsi="Arial" w:cs="Arial"/>
                <w:color w:val="0D0D0D"/>
                <w:spacing w:val="-5"/>
                <w:szCs w:val="24"/>
              </w:rPr>
              <w:t>.</w:t>
            </w:r>
            <w:r>
              <w:rPr>
                <w:rFonts w:ascii="Arial" w:hAnsi="Arial" w:cs="Arial"/>
                <w:color w:val="0D0D0D"/>
                <w:spacing w:val="-5"/>
                <w:szCs w:val="24"/>
              </w:rPr>
              <w:t>9</w:t>
            </w:r>
            <w:r w:rsidR="00D671B0" w:rsidRPr="003C57C5">
              <w:rPr>
                <w:rFonts w:ascii="Arial" w:hAnsi="Arial" w:cs="Arial"/>
                <w:color w:val="0D0D0D"/>
                <w:spacing w:val="-5"/>
                <w:szCs w:val="24"/>
              </w:rPr>
              <w:t>0</w:t>
            </w:r>
          </w:p>
        </w:tc>
        <w:tc>
          <w:tcPr>
            <w:tcW w:w="1564"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3.</w:t>
            </w:r>
            <w:r w:rsidR="006A3A39">
              <w:rPr>
                <w:rFonts w:ascii="Arial" w:hAnsi="Arial" w:cs="Arial"/>
                <w:color w:val="0D0D0D"/>
                <w:spacing w:val="-5"/>
                <w:szCs w:val="24"/>
              </w:rPr>
              <w:t>3</w:t>
            </w:r>
            <w:r w:rsidRPr="003C57C5">
              <w:rPr>
                <w:rFonts w:ascii="Arial" w:hAnsi="Arial" w:cs="Arial"/>
                <w:color w:val="0D0D0D"/>
                <w:spacing w:val="-5"/>
                <w:szCs w:val="24"/>
              </w:rPr>
              <w:t>0</w:t>
            </w:r>
          </w:p>
        </w:tc>
        <w:tc>
          <w:tcPr>
            <w:tcW w:w="1662"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3.</w:t>
            </w:r>
            <w:r w:rsidR="006A3A39">
              <w:rPr>
                <w:rFonts w:ascii="Arial" w:hAnsi="Arial" w:cs="Arial"/>
                <w:color w:val="0D0D0D"/>
                <w:spacing w:val="-5"/>
                <w:szCs w:val="24"/>
              </w:rPr>
              <w:t>1</w:t>
            </w:r>
            <w:r w:rsidRPr="003C57C5">
              <w:rPr>
                <w:rFonts w:ascii="Arial" w:hAnsi="Arial" w:cs="Arial"/>
                <w:color w:val="0D0D0D"/>
                <w:spacing w:val="-5"/>
                <w:szCs w:val="24"/>
              </w:rPr>
              <w:t>0</w:t>
            </w:r>
          </w:p>
        </w:tc>
      </w:tr>
      <w:tr w:rsidR="006A3A39" w:rsidRPr="00F72C59" w:rsidTr="00183401">
        <w:tc>
          <w:tcPr>
            <w:tcW w:w="1319" w:type="dxa"/>
            <w:tcBorders>
              <w:top w:val="single" w:sz="4" w:space="0" w:color="auto"/>
              <w:left w:val="single" w:sz="4" w:space="0" w:color="auto"/>
              <w:bottom w:val="single" w:sz="4" w:space="0" w:color="auto"/>
              <w:right w:val="single" w:sz="4" w:space="0" w:color="auto"/>
            </w:tcBorders>
            <w:hideMark/>
          </w:tcPr>
          <w:p w:rsidR="00183401" w:rsidRPr="00472B77" w:rsidRDefault="00183401" w:rsidP="005804A2">
            <w:pPr>
              <w:rPr>
                <w:rFonts w:ascii="Arial" w:hAnsi="Arial" w:cs="Arial"/>
                <w:color w:val="0D0D0D"/>
                <w:spacing w:val="-5"/>
                <w:szCs w:val="24"/>
              </w:rPr>
            </w:pPr>
            <w:r w:rsidRPr="00472B77">
              <w:rPr>
                <w:rFonts w:ascii="Arial" w:hAnsi="Arial" w:cs="Arial"/>
                <w:color w:val="0D0D0D"/>
                <w:szCs w:val="24"/>
              </w:rPr>
              <w:t>Sep 20</w:t>
            </w:r>
            <w:r w:rsidR="000C1EE0" w:rsidRPr="00472B77">
              <w:rPr>
                <w:rFonts w:ascii="Arial" w:hAnsi="Arial" w:cs="Arial"/>
                <w:color w:val="0D0D0D"/>
                <w:szCs w:val="24"/>
              </w:rPr>
              <w:t>2</w:t>
            </w:r>
            <w:r w:rsidR="00472B77" w:rsidRPr="00472B77">
              <w:rPr>
                <w:rFonts w:ascii="Arial" w:hAnsi="Arial" w:cs="Arial"/>
                <w:color w:val="0D0D0D"/>
                <w:szCs w:val="24"/>
              </w:rPr>
              <w:t>1</w:t>
            </w:r>
          </w:p>
        </w:tc>
        <w:tc>
          <w:tcPr>
            <w:tcW w:w="1607" w:type="dxa"/>
            <w:tcBorders>
              <w:top w:val="single" w:sz="4" w:space="0" w:color="auto"/>
              <w:left w:val="single" w:sz="4" w:space="0" w:color="auto"/>
              <w:bottom w:val="single" w:sz="4" w:space="0" w:color="auto"/>
              <w:right w:val="single" w:sz="4" w:space="0" w:color="auto"/>
            </w:tcBorders>
          </w:tcPr>
          <w:p w:rsidR="00183401" w:rsidRPr="003C57C5" w:rsidRDefault="00D671B0" w:rsidP="003C57C5">
            <w:pPr>
              <w:jc w:val="center"/>
              <w:rPr>
                <w:rFonts w:ascii="Arial" w:hAnsi="Arial" w:cs="Arial"/>
                <w:color w:val="0D0D0D"/>
                <w:spacing w:val="-5"/>
                <w:szCs w:val="24"/>
              </w:rPr>
            </w:pPr>
            <w:r w:rsidRPr="003C57C5">
              <w:rPr>
                <w:rFonts w:ascii="Arial" w:hAnsi="Arial" w:cs="Arial"/>
                <w:color w:val="0D0D0D"/>
                <w:spacing w:val="-5"/>
                <w:szCs w:val="24"/>
              </w:rPr>
              <w:t>1.</w:t>
            </w:r>
            <w:r w:rsidR="003C57C5" w:rsidRPr="003C57C5">
              <w:rPr>
                <w:rFonts w:ascii="Arial" w:hAnsi="Arial" w:cs="Arial"/>
                <w:color w:val="0D0D0D"/>
                <w:spacing w:val="-5"/>
                <w:szCs w:val="24"/>
              </w:rPr>
              <w:t>75</w:t>
            </w:r>
          </w:p>
        </w:tc>
        <w:tc>
          <w:tcPr>
            <w:tcW w:w="1475"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2.</w:t>
            </w:r>
            <w:r w:rsidR="006A3A39">
              <w:rPr>
                <w:rFonts w:ascii="Arial" w:hAnsi="Arial" w:cs="Arial"/>
                <w:color w:val="0D0D0D"/>
                <w:spacing w:val="-5"/>
                <w:szCs w:val="24"/>
              </w:rPr>
              <w:t>5</w:t>
            </w:r>
            <w:r w:rsidRPr="003C57C5">
              <w:rPr>
                <w:rFonts w:ascii="Arial" w:hAnsi="Arial" w:cs="Arial"/>
                <w:color w:val="0D0D0D"/>
                <w:spacing w:val="-5"/>
                <w:szCs w:val="24"/>
              </w:rPr>
              <w:t>0</w:t>
            </w:r>
          </w:p>
        </w:tc>
        <w:tc>
          <w:tcPr>
            <w:tcW w:w="1469" w:type="dxa"/>
            <w:tcBorders>
              <w:top w:val="single" w:sz="4" w:space="0" w:color="auto"/>
              <w:left w:val="single" w:sz="4" w:space="0" w:color="auto"/>
              <w:bottom w:val="single" w:sz="4" w:space="0" w:color="auto"/>
              <w:right w:val="single" w:sz="4" w:space="0" w:color="auto"/>
            </w:tcBorders>
          </w:tcPr>
          <w:p w:rsidR="00183401" w:rsidRPr="003C57C5" w:rsidRDefault="006A3A39" w:rsidP="006A3A39">
            <w:pPr>
              <w:jc w:val="center"/>
              <w:rPr>
                <w:rFonts w:ascii="Arial" w:hAnsi="Arial" w:cs="Arial"/>
                <w:color w:val="0D0D0D"/>
                <w:spacing w:val="-5"/>
                <w:szCs w:val="24"/>
              </w:rPr>
            </w:pPr>
            <w:r>
              <w:rPr>
                <w:rFonts w:ascii="Arial" w:hAnsi="Arial" w:cs="Arial"/>
                <w:color w:val="0D0D0D"/>
                <w:spacing w:val="-5"/>
                <w:szCs w:val="24"/>
              </w:rPr>
              <w:t>2</w:t>
            </w:r>
            <w:r w:rsidR="00D671B0" w:rsidRPr="003C57C5">
              <w:rPr>
                <w:rFonts w:ascii="Arial" w:hAnsi="Arial" w:cs="Arial"/>
                <w:color w:val="0D0D0D"/>
                <w:spacing w:val="-5"/>
                <w:szCs w:val="24"/>
              </w:rPr>
              <w:t>.</w:t>
            </w:r>
            <w:r>
              <w:rPr>
                <w:rFonts w:ascii="Arial" w:hAnsi="Arial" w:cs="Arial"/>
                <w:color w:val="0D0D0D"/>
                <w:spacing w:val="-5"/>
                <w:szCs w:val="24"/>
              </w:rPr>
              <w:t>9</w:t>
            </w:r>
            <w:r w:rsidR="00D671B0" w:rsidRPr="003C57C5">
              <w:rPr>
                <w:rFonts w:ascii="Arial" w:hAnsi="Arial" w:cs="Arial"/>
                <w:color w:val="0D0D0D"/>
                <w:spacing w:val="-5"/>
                <w:szCs w:val="24"/>
              </w:rPr>
              <w:t>0</w:t>
            </w:r>
          </w:p>
        </w:tc>
        <w:tc>
          <w:tcPr>
            <w:tcW w:w="1564"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3.</w:t>
            </w:r>
            <w:r w:rsidR="006A3A39">
              <w:rPr>
                <w:rFonts w:ascii="Arial" w:hAnsi="Arial" w:cs="Arial"/>
                <w:color w:val="0D0D0D"/>
                <w:spacing w:val="-5"/>
                <w:szCs w:val="24"/>
              </w:rPr>
              <w:t>3</w:t>
            </w:r>
            <w:r w:rsidRPr="003C57C5">
              <w:rPr>
                <w:rFonts w:ascii="Arial" w:hAnsi="Arial" w:cs="Arial"/>
                <w:color w:val="0D0D0D"/>
                <w:spacing w:val="-5"/>
                <w:szCs w:val="24"/>
              </w:rPr>
              <w:t>0</w:t>
            </w:r>
          </w:p>
        </w:tc>
        <w:tc>
          <w:tcPr>
            <w:tcW w:w="1662"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3.</w:t>
            </w:r>
            <w:r w:rsidR="006A3A39">
              <w:rPr>
                <w:rFonts w:ascii="Arial" w:hAnsi="Arial" w:cs="Arial"/>
                <w:color w:val="0D0D0D"/>
                <w:spacing w:val="-5"/>
                <w:szCs w:val="24"/>
              </w:rPr>
              <w:t>1</w:t>
            </w:r>
            <w:r w:rsidRPr="003C57C5">
              <w:rPr>
                <w:rFonts w:ascii="Arial" w:hAnsi="Arial" w:cs="Arial"/>
                <w:color w:val="0D0D0D"/>
                <w:spacing w:val="-5"/>
                <w:szCs w:val="24"/>
              </w:rPr>
              <w:t>0</w:t>
            </w:r>
          </w:p>
        </w:tc>
      </w:tr>
      <w:tr w:rsidR="006A3A39" w:rsidRPr="00F72C59" w:rsidTr="00183401">
        <w:tc>
          <w:tcPr>
            <w:tcW w:w="1319" w:type="dxa"/>
            <w:tcBorders>
              <w:top w:val="single" w:sz="4" w:space="0" w:color="auto"/>
              <w:left w:val="single" w:sz="4" w:space="0" w:color="auto"/>
              <w:bottom w:val="single" w:sz="4" w:space="0" w:color="auto"/>
              <w:right w:val="single" w:sz="4" w:space="0" w:color="auto"/>
            </w:tcBorders>
            <w:hideMark/>
          </w:tcPr>
          <w:p w:rsidR="00183401" w:rsidRPr="00472B77" w:rsidRDefault="00183401" w:rsidP="005804A2">
            <w:pPr>
              <w:rPr>
                <w:rFonts w:ascii="Arial" w:hAnsi="Arial" w:cs="Arial"/>
                <w:color w:val="0D0D0D"/>
                <w:spacing w:val="-5"/>
                <w:szCs w:val="24"/>
              </w:rPr>
            </w:pPr>
            <w:r w:rsidRPr="00472B77">
              <w:rPr>
                <w:rFonts w:ascii="Arial" w:hAnsi="Arial" w:cs="Arial"/>
                <w:color w:val="0D0D0D"/>
                <w:szCs w:val="24"/>
              </w:rPr>
              <w:t>Dec 20</w:t>
            </w:r>
            <w:r w:rsidR="000C1EE0" w:rsidRPr="00472B77">
              <w:rPr>
                <w:rFonts w:ascii="Arial" w:hAnsi="Arial" w:cs="Arial"/>
                <w:color w:val="0D0D0D"/>
                <w:szCs w:val="24"/>
              </w:rPr>
              <w:t>2</w:t>
            </w:r>
            <w:r w:rsidR="00472B77" w:rsidRPr="00472B77">
              <w:rPr>
                <w:rFonts w:ascii="Arial" w:hAnsi="Arial" w:cs="Arial"/>
                <w:color w:val="0D0D0D"/>
                <w:szCs w:val="24"/>
              </w:rPr>
              <w:t>1</w:t>
            </w:r>
          </w:p>
        </w:tc>
        <w:tc>
          <w:tcPr>
            <w:tcW w:w="1607" w:type="dxa"/>
            <w:tcBorders>
              <w:top w:val="single" w:sz="4" w:space="0" w:color="auto"/>
              <w:left w:val="single" w:sz="4" w:space="0" w:color="auto"/>
              <w:bottom w:val="single" w:sz="4" w:space="0" w:color="auto"/>
              <w:right w:val="single" w:sz="4" w:space="0" w:color="auto"/>
            </w:tcBorders>
          </w:tcPr>
          <w:p w:rsidR="00183401" w:rsidRPr="003C57C5" w:rsidRDefault="00D671B0" w:rsidP="003C57C5">
            <w:pPr>
              <w:jc w:val="center"/>
              <w:rPr>
                <w:rFonts w:ascii="Arial" w:hAnsi="Arial" w:cs="Arial"/>
                <w:color w:val="0D0D0D"/>
                <w:spacing w:val="-5"/>
                <w:szCs w:val="24"/>
              </w:rPr>
            </w:pPr>
            <w:r w:rsidRPr="003C57C5">
              <w:rPr>
                <w:rFonts w:ascii="Arial" w:hAnsi="Arial" w:cs="Arial"/>
                <w:color w:val="0D0D0D"/>
                <w:spacing w:val="-5"/>
                <w:szCs w:val="24"/>
              </w:rPr>
              <w:t>1.</w:t>
            </w:r>
            <w:r w:rsidR="003C57C5" w:rsidRPr="003C57C5">
              <w:rPr>
                <w:rFonts w:ascii="Arial" w:hAnsi="Arial" w:cs="Arial"/>
                <w:color w:val="0D0D0D"/>
                <w:spacing w:val="-5"/>
                <w:szCs w:val="24"/>
              </w:rPr>
              <w:t>75</w:t>
            </w:r>
          </w:p>
        </w:tc>
        <w:tc>
          <w:tcPr>
            <w:tcW w:w="1475"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2.</w:t>
            </w:r>
            <w:r w:rsidR="006A3A39">
              <w:rPr>
                <w:rFonts w:ascii="Arial" w:hAnsi="Arial" w:cs="Arial"/>
                <w:color w:val="0D0D0D"/>
                <w:spacing w:val="-5"/>
                <w:szCs w:val="24"/>
              </w:rPr>
              <w:t>6</w:t>
            </w:r>
            <w:r w:rsidRPr="003C57C5">
              <w:rPr>
                <w:rFonts w:ascii="Arial" w:hAnsi="Arial" w:cs="Arial"/>
                <w:color w:val="0D0D0D"/>
                <w:spacing w:val="-5"/>
                <w:szCs w:val="24"/>
              </w:rPr>
              <w:t>0</w:t>
            </w:r>
          </w:p>
        </w:tc>
        <w:tc>
          <w:tcPr>
            <w:tcW w:w="1469" w:type="dxa"/>
            <w:tcBorders>
              <w:top w:val="single" w:sz="4" w:space="0" w:color="auto"/>
              <w:left w:val="single" w:sz="4" w:space="0" w:color="auto"/>
              <w:bottom w:val="single" w:sz="4" w:space="0" w:color="auto"/>
              <w:right w:val="single" w:sz="4" w:space="0" w:color="auto"/>
            </w:tcBorders>
          </w:tcPr>
          <w:p w:rsidR="00183401" w:rsidRPr="003C57C5" w:rsidRDefault="003C57C5" w:rsidP="006A3A39">
            <w:pPr>
              <w:jc w:val="center"/>
              <w:rPr>
                <w:rFonts w:ascii="Arial" w:hAnsi="Arial" w:cs="Arial"/>
                <w:color w:val="0D0D0D"/>
                <w:spacing w:val="-5"/>
                <w:szCs w:val="24"/>
              </w:rPr>
            </w:pPr>
            <w:r w:rsidRPr="003C57C5">
              <w:rPr>
                <w:rFonts w:ascii="Arial" w:hAnsi="Arial" w:cs="Arial"/>
                <w:color w:val="0D0D0D"/>
                <w:spacing w:val="-5"/>
                <w:szCs w:val="24"/>
              </w:rPr>
              <w:t>3</w:t>
            </w:r>
            <w:r w:rsidR="00D671B0" w:rsidRPr="003C57C5">
              <w:rPr>
                <w:rFonts w:ascii="Arial" w:hAnsi="Arial" w:cs="Arial"/>
                <w:color w:val="0D0D0D"/>
                <w:spacing w:val="-5"/>
                <w:szCs w:val="24"/>
              </w:rPr>
              <w:t>.</w:t>
            </w:r>
            <w:r w:rsidR="006A3A39">
              <w:rPr>
                <w:rFonts w:ascii="Arial" w:hAnsi="Arial" w:cs="Arial"/>
                <w:color w:val="0D0D0D"/>
                <w:spacing w:val="-5"/>
                <w:szCs w:val="24"/>
              </w:rPr>
              <w:t>0</w:t>
            </w:r>
            <w:r w:rsidR="00D671B0" w:rsidRPr="003C57C5">
              <w:rPr>
                <w:rFonts w:ascii="Arial" w:hAnsi="Arial" w:cs="Arial"/>
                <w:color w:val="0D0D0D"/>
                <w:spacing w:val="-5"/>
                <w:szCs w:val="24"/>
              </w:rPr>
              <w:t>0</w:t>
            </w:r>
          </w:p>
        </w:tc>
        <w:tc>
          <w:tcPr>
            <w:tcW w:w="1564"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3.</w:t>
            </w:r>
            <w:r w:rsidR="006A3A39">
              <w:rPr>
                <w:rFonts w:ascii="Arial" w:hAnsi="Arial" w:cs="Arial"/>
                <w:color w:val="0D0D0D"/>
                <w:spacing w:val="-5"/>
                <w:szCs w:val="24"/>
              </w:rPr>
              <w:t>4</w:t>
            </w:r>
            <w:r w:rsidRPr="003C57C5">
              <w:rPr>
                <w:rFonts w:ascii="Arial" w:hAnsi="Arial" w:cs="Arial"/>
                <w:color w:val="0D0D0D"/>
                <w:spacing w:val="-5"/>
                <w:szCs w:val="24"/>
              </w:rPr>
              <w:t>0</w:t>
            </w:r>
          </w:p>
        </w:tc>
        <w:tc>
          <w:tcPr>
            <w:tcW w:w="1662"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3.</w:t>
            </w:r>
            <w:r w:rsidR="006A3A39">
              <w:rPr>
                <w:rFonts w:ascii="Arial" w:hAnsi="Arial" w:cs="Arial"/>
                <w:color w:val="0D0D0D"/>
                <w:spacing w:val="-5"/>
                <w:szCs w:val="24"/>
              </w:rPr>
              <w:t>2</w:t>
            </w:r>
            <w:r w:rsidRPr="003C57C5">
              <w:rPr>
                <w:rFonts w:ascii="Arial" w:hAnsi="Arial" w:cs="Arial"/>
                <w:color w:val="0D0D0D"/>
                <w:spacing w:val="-5"/>
                <w:szCs w:val="24"/>
              </w:rPr>
              <w:t>0</w:t>
            </w:r>
          </w:p>
        </w:tc>
      </w:tr>
      <w:tr w:rsidR="006A3A39" w:rsidRPr="00F72C59" w:rsidTr="00183401">
        <w:tc>
          <w:tcPr>
            <w:tcW w:w="1319" w:type="dxa"/>
            <w:tcBorders>
              <w:top w:val="single" w:sz="4" w:space="0" w:color="auto"/>
              <w:left w:val="single" w:sz="4" w:space="0" w:color="auto"/>
              <w:bottom w:val="single" w:sz="4" w:space="0" w:color="auto"/>
              <w:right w:val="single" w:sz="4" w:space="0" w:color="auto"/>
            </w:tcBorders>
            <w:hideMark/>
          </w:tcPr>
          <w:p w:rsidR="00183401" w:rsidRPr="00472B77" w:rsidRDefault="00183401" w:rsidP="005804A2">
            <w:pPr>
              <w:rPr>
                <w:rFonts w:ascii="Arial" w:hAnsi="Arial" w:cs="Arial"/>
                <w:color w:val="0D0D0D"/>
                <w:spacing w:val="-5"/>
                <w:szCs w:val="24"/>
              </w:rPr>
            </w:pPr>
            <w:r w:rsidRPr="00472B77">
              <w:rPr>
                <w:rFonts w:ascii="Arial" w:hAnsi="Arial" w:cs="Arial"/>
                <w:color w:val="0D0D0D"/>
                <w:szCs w:val="24"/>
              </w:rPr>
              <w:t>Mar 202</w:t>
            </w:r>
            <w:r w:rsidR="00472B77" w:rsidRPr="00472B77">
              <w:rPr>
                <w:rFonts w:ascii="Arial" w:hAnsi="Arial" w:cs="Arial"/>
                <w:color w:val="0D0D0D"/>
                <w:szCs w:val="24"/>
              </w:rPr>
              <w:t>2</w:t>
            </w:r>
          </w:p>
        </w:tc>
        <w:tc>
          <w:tcPr>
            <w:tcW w:w="1607" w:type="dxa"/>
            <w:tcBorders>
              <w:top w:val="single" w:sz="4" w:space="0" w:color="auto"/>
              <w:left w:val="single" w:sz="4" w:space="0" w:color="auto"/>
              <w:bottom w:val="single" w:sz="4" w:space="0" w:color="auto"/>
              <w:right w:val="single" w:sz="4" w:space="0" w:color="auto"/>
            </w:tcBorders>
          </w:tcPr>
          <w:p w:rsidR="00183401" w:rsidRPr="003C57C5" w:rsidRDefault="003C57C5" w:rsidP="003C57C5">
            <w:pPr>
              <w:jc w:val="center"/>
              <w:rPr>
                <w:rFonts w:ascii="Arial" w:hAnsi="Arial" w:cs="Arial"/>
                <w:color w:val="0D0D0D"/>
                <w:spacing w:val="-5"/>
                <w:szCs w:val="24"/>
              </w:rPr>
            </w:pPr>
            <w:r w:rsidRPr="003C57C5">
              <w:rPr>
                <w:rFonts w:ascii="Arial" w:hAnsi="Arial" w:cs="Arial"/>
                <w:color w:val="0D0D0D"/>
                <w:spacing w:val="-5"/>
                <w:szCs w:val="24"/>
              </w:rPr>
              <w:t>2.00</w:t>
            </w:r>
          </w:p>
        </w:tc>
        <w:tc>
          <w:tcPr>
            <w:tcW w:w="1475"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2.</w:t>
            </w:r>
            <w:r w:rsidR="006A3A39">
              <w:rPr>
                <w:rFonts w:ascii="Arial" w:hAnsi="Arial" w:cs="Arial"/>
                <w:color w:val="0D0D0D"/>
                <w:spacing w:val="-5"/>
                <w:szCs w:val="24"/>
              </w:rPr>
              <w:t>6</w:t>
            </w:r>
            <w:r w:rsidRPr="003C57C5">
              <w:rPr>
                <w:rFonts w:ascii="Arial" w:hAnsi="Arial" w:cs="Arial"/>
                <w:color w:val="0D0D0D"/>
                <w:spacing w:val="-5"/>
                <w:szCs w:val="24"/>
              </w:rPr>
              <w:t>0</w:t>
            </w:r>
          </w:p>
        </w:tc>
        <w:tc>
          <w:tcPr>
            <w:tcW w:w="1469"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3.</w:t>
            </w:r>
            <w:r w:rsidR="006A3A39">
              <w:rPr>
                <w:rFonts w:ascii="Arial" w:hAnsi="Arial" w:cs="Arial"/>
                <w:color w:val="0D0D0D"/>
                <w:spacing w:val="-5"/>
                <w:szCs w:val="24"/>
              </w:rPr>
              <w:t>00</w:t>
            </w:r>
          </w:p>
        </w:tc>
        <w:tc>
          <w:tcPr>
            <w:tcW w:w="1564"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3.</w:t>
            </w:r>
            <w:r w:rsidR="006A3A39">
              <w:rPr>
                <w:rFonts w:ascii="Arial" w:hAnsi="Arial" w:cs="Arial"/>
                <w:color w:val="0D0D0D"/>
                <w:spacing w:val="-5"/>
                <w:szCs w:val="24"/>
              </w:rPr>
              <w:t>40</w:t>
            </w:r>
          </w:p>
        </w:tc>
        <w:tc>
          <w:tcPr>
            <w:tcW w:w="1662" w:type="dxa"/>
            <w:tcBorders>
              <w:top w:val="single" w:sz="4" w:space="0" w:color="auto"/>
              <w:left w:val="single" w:sz="4" w:space="0" w:color="auto"/>
              <w:bottom w:val="single" w:sz="4" w:space="0" w:color="auto"/>
              <w:right w:val="single" w:sz="4" w:space="0" w:color="auto"/>
            </w:tcBorders>
          </w:tcPr>
          <w:p w:rsidR="00183401" w:rsidRPr="003C57C5" w:rsidRDefault="00D671B0" w:rsidP="006A3A39">
            <w:pPr>
              <w:jc w:val="center"/>
              <w:rPr>
                <w:rFonts w:ascii="Arial" w:hAnsi="Arial" w:cs="Arial"/>
                <w:color w:val="0D0D0D"/>
                <w:spacing w:val="-5"/>
                <w:szCs w:val="24"/>
              </w:rPr>
            </w:pPr>
            <w:r w:rsidRPr="003C57C5">
              <w:rPr>
                <w:rFonts w:ascii="Arial" w:hAnsi="Arial" w:cs="Arial"/>
                <w:color w:val="0D0D0D"/>
                <w:spacing w:val="-5"/>
                <w:szCs w:val="24"/>
              </w:rPr>
              <w:t>3.</w:t>
            </w:r>
            <w:r w:rsidR="006A3A39">
              <w:rPr>
                <w:rFonts w:ascii="Arial" w:hAnsi="Arial" w:cs="Arial"/>
                <w:color w:val="0D0D0D"/>
                <w:spacing w:val="-5"/>
                <w:szCs w:val="24"/>
              </w:rPr>
              <w:t>2</w:t>
            </w:r>
            <w:r w:rsidRPr="003C57C5">
              <w:rPr>
                <w:rFonts w:ascii="Arial" w:hAnsi="Arial" w:cs="Arial"/>
                <w:color w:val="0D0D0D"/>
                <w:spacing w:val="-5"/>
                <w:szCs w:val="24"/>
              </w:rPr>
              <w:t>0</w:t>
            </w:r>
          </w:p>
        </w:tc>
      </w:tr>
    </w:tbl>
    <w:p w:rsidR="00F72C59" w:rsidRDefault="00F72C59" w:rsidP="005804A2">
      <w:pPr>
        <w:ind w:left="720"/>
        <w:rPr>
          <w:rFonts w:ascii="Arial" w:hAnsi="Arial" w:cs="Arial"/>
          <w:i/>
          <w:szCs w:val="22"/>
        </w:rPr>
      </w:pPr>
      <w:r>
        <w:rPr>
          <w:rFonts w:ascii="Arial" w:hAnsi="Arial" w:cs="Arial"/>
          <w:szCs w:val="22"/>
        </w:rPr>
        <w:t xml:space="preserve">* </w:t>
      </w:r>
      <w:r w:rsidRPr="008750E4">
        <w:rPr>
          <w:rFonts w:ascii="Arial" w:hAnsi="Arial" w:cs="Arial"/>
          <w:i/>
          <w:szCs w:val="22"/>
        </w:rPr>
        <w:t>The certainty rate adjustment is a reduced rate by 0.20% for</w:t>
      </w:r>
      <w:r w:rsidR="00D671B0">
        <w:rPr>
          <w:rFonts w:ascii="Arial" w:hAnsi="Arial" w:cs="Arial"/>
          <w:i/>
          <w:szCs w:val="22"/>
        </w:rPr>
        <w:t xml:space="preserve"> </w:t>
      </w:r>
      <w:r w:rsidRPr="008750E4">
        <w:rPr>
          <w:rFonts w:ascii="Arial" w:hAnsi="Arial" w:cs="Arial"/>
          <w:i/>
          <w:szCs w:val="22"/>
        </w:rPr>
        <w:t>those councils like Darlington Borough Council who have submitted more detail on</w:t>
      </w:r>
      <w:r>
        <w:rPr>
          <w:rFonts w:ascii="Arial" w:hAnsi="Arial" w:cs="Arial"/>
          <w:i/>
          <w:szCs w:val="22"/>
        </w:rPr>
        <w:t xml:space="preserve"> future</w:t>
      </w:r>
      <w:r w:rsidRPr="008750E4">
        <w:rPr>
          <w:rFonts w:ascii="Arial" w:hAnsi="Arial" w:cs="Arial"/>
          <w:i/>
          <w:szCs w:val="22"/>
        </w:rPr>
        <w:t xml:space="preserve"> borrowing requirement to the Treasury</w:t>
      </w:r>
    </w:p>
    <w:p w:rsidR="00464A5A" w:rsidRDefault="00464A5A" w:rsidP="005804A2">
      <w:pPr>
        <w:ind w:left="720"/>
        <w:rPr>
          <w:rFonts w:ascii="Arial" w:hAnsi="Arial" w:cs="Arial"/>
          <w:i/>
          <w:szCs w:val="22"/>
        </w:rPr>
      </w:pPr>
    </w:p>
    <w:p w:rsidR="00464A5A" w:rsidRPr="00464A5A" w:rsidRDefault="00464A5A" w:rsidP="00464A5A">
      <w:pPr>
        <w:rPr>
          <w:rFonts w:ascii="Arial" w:hAnsi="Arial" w:cs="Arial"/>
          <w:b/>
          <w:szCs w:val="22"/>
        </w:rPr>
      </w:pPr>
      <w:r w:rsidRPr="00464A5A">
        <w:rPr>
          <w:rFonts w:ascii="Arial" w:hAnsi="Arial" w:cs="Arial"/>
          <w:b/>
          <w:szCs w:val="22"/>
        </w:rPr>
        <w:t>Investment and borrowing rates</w:t>
      </w:r>
    </w:p>
    <w:p w:rsidR="00464A5A" w:rsidRDefault="00464A5A" w:rsidP="005804A2">
      <w:pPr>
        <w:ind w:left="720"/>
        <w:rPr>
          <w:rFonts w:ascii="Arial" w:hAnsi="Arial" w:cs="Arial"/>
          <w:i/>
          <w:szCs w:val="22"/>
        </w:rPr>
      </w:pPr>
    </w:p>
    <w:p w:rsidR="00464A5A" w:rsidRDefault="00464A5A" w:rsidP="00464A5A">
      <w:pPr>
        <w:numPr>
          <w:ilvl w:val="0"/>
          <w:numId w:val="1"/>
        </w:numPr>
        <w:rPr>
          <w:rFonts w:ascii="Arial" w:hAnsi="Arial" w:cs="Arial"/>
          <w:noProof/>
          <w:szCs w:val="24"/>
        </w:rPr>
      </w:pPr>
      <w:r>
        <w:rPr>
          <w:rFonts w:ascii="Arial" w:hAnsi="Arial" w:cs="Arial"/>
          <w:noProof/>
          <w:szCs w:val="24"/>
        </w:rPr>
        <w:t>Investment returns are likely to remain low during 2019/20 but on a gently rising trend over the next few years.</w:t>
      </w:r>
    </w:p>
    <w:p w:rsidR="00464A5A" w:rsidRDefault="00464A5A" w:rsidP="00464A5A">
      <w:pPr>
        <w:ind w:left="567"/>
        <w:rPr>
          <w:rFonts w:ascii="Arial" w:hAnsi="Arial" w:cs="Arial"/>
          <w:noProof/>
          <w:szCs w:val="24"/>
        </w:rPr>
      </w:pPr>
    </w:p>
    <w:p w:rsidR="00464A5A" w:rsidRDefault="00464A5A" w:rsidP="00464A5A">
      <w:pPr>
        <w:numPr>
          <w:ilvl w:val="0"/>
          <w:numId w:val="1"/>
        </w:numPr>
        <w:rPr>
          <w:rFonts w:ascii="Arial" w:hAnsi="Arial" w:cs="Arial"/>
          <w:noProof/>
          <w:szCs w:val="24"/>
        </w:rPr>
      </w:pPr>
      <w:r>
        <w:rPr>
          <w:rFonts w:ascii="Arial" w:hAnsi="Arial" w:cs="Arial"/>
          <w:noProof/>
          <w:szCs w:val="24"/>
        </w:rPr>
        <w:t xml:space="preserve">Borrowing interest rates have been volatile so far in 2018/19 and </w:t>
      </w:r>
      <w:r w:rsidR="006A5872">
        <w:rPr>
          <w:rFonts w:ascii="Arial" w:hAnsi="Arial" w:cs="Arial"/>
          <w:noProof/>
          <w:szCs w:val="24"/>
        </w:rPr>
        <w:t>whilst they were on a rising trend during the first half of the year, they have back tracked since then until early January</w:t>
      </w:r>
      <w:r>
        <w:rPr>
          <w:rFonts w:ascii="Arial" w:hAnsi="Arial" w:cs="Arial"/>
          <w:noProof/>
          <w:szCs w:val="24"/>
        </w:rPr>
        <w:t>. The policy of avoiding new borrowing by running down spare cash balances has served well over the last few years. However, this needs to be carefully reviewed to avoid incurring higher borrowing costs in the future when the Council may not be able to avoid new borrowing to finance capital expenditure and/or the refinancing of maturing debt.</w:t>
      </w:r>
    </w:p>
    <w:p w:rsidR="00464A5A" w:rsidRDefault="00464A5A" w:rsidP="00464A5A">
      <w:pPr>
        <w:pStyle w:val="ListParagraph"/>
        <w:rPr>
          <w:rFonts w:ascii="Arial" w:hAnsi="Arial" w:cs="Arial"/>
          <w:noProof/>
          <w:szCs w:val="24"/>
        </w:rPr>
      </w:pPr>
    </w:p>
    <w:p w:rsidR="00464A5A" w:rsidRDefault="00464A5A" w:rsidP="00464A5A">
      <w:pPr>
        <w:numPr>
          <w:ilvl w:val="0"/>
          <w:numId w:val="1"/>
        </w:numPr>
        <w:rPr>
          <w:rFonts w:ascii="Arial" w:hAnsi="Arial" w:cs="Arial"/>
          <w:noProof/>
          <w:szCs w:val="24"/>
        </w:rPr>
      </w:pPr>
      <w:r>
        <w:rPr>
          <w:rFonts w:ascii="Arial" w:hAnsi="Arial" w:cs="Arial"/>
          <w:noProof/>
          <w:szCs w:val="24"/>
        </w:rPr>
        <w:t xml:space="preserve">There will remain a cost of carry, (the difference between higher borrowing costs and lower investment returns), to any new long-term borrowing that causes a temporary increase in cash balances as this position will, most likely, incur a revenue cost. </w:t>
      </w:r>
    </w:p>
    <w:p w:rsidR="001E19BF" w:rsidRPr="00472B77" w:rsidRDefault="001E19BF" w:rsidP="005804A2">
      <w:pPr>
        <w:ind w:left="720"/>
        <w:rPr>
          <w:rFonts w:ascii="Arial" w:hAnsi="Arial" w:cs="Arial"/>
          <w:szCs w:val="22"/>
        </w:rPr>
      </w:pPr>
    </w:p>
    <w:p w:rsidR="00672C69" w:rsidRPr="00672C69" w:rsidRDefault="00672C69" w:rsidP="005804A2">
      <w:pPr>
        <w:rPr>
          <w:rFonts w:ascii="Arial" w:hAnsi="Arial" w:cs="Arial"/>
          <w:b/>
          <w:noProof/>
          <w:szCs w:val="36"/>
        </w:rPr>
      </w:pPr>
      <w:r w:rsidRPr="00672C69">
        <w:rPr>
          <w:rFonts w:ascii="Arial" w:hAnsi="Arial" w:cs="Arial"/>
          <w:b/>
          <w:noProof/>
          <w:szCs w:val="36"/>
        </w:rPr>
        <w:t xml:space="preserve">Borrowing Strategy </w:t>
      </w:r>
    </w:p>
    <w:p w:rsidR="00672C69" w:rsidRPr="00472B77" w:rsidRDefault="00672C69" w:rsidP="005804A2">
      <w:pPr>
        <w:rPr>
          <w:rFonts w:ascii="Arial" w:hAnsi="Arial" w:cs="Arial"/>
          <w:noProof/>
          <w:szCs w:val="22"/>
        </w:rPr>
      </w:pPr>
    </w:p>
    <w:p w:rsidR="007C2FBE" w:rsidRDefault="00672C69" w:rsidP="007C2FBE">
      <w:pPr>
        <w:numPr>
          <w:ilvl w:val="0"/>
          <w:numId w:val="1"/>
        </w:numPr>
        <w:rPr>
          <w:rFonts w:ascii="Arial" w:hAnsi="Arial" w:cs="Arial"/>
          <w:noProof/>
          <w:szCs w:val="24"/>
        </w:rPr>
      </w:pPr>
      <w:r w:rsidRPr="007C2FBE">
        <w:rPr>
          <w:rFonts w:ascii="Arial" w:hAnsi="Arial" w:cs="Arial"/>
          <w:noProof/>
          <w:szCs w:val="24"/>
        </w:rPr>
        <w:t>The Coun</w:t>
      </w:r>
      <w:r w:rsidR="007C2FBE" w:rsidRPr="007C2FBE">
        <w:rPr>
          <w:rFonts w:ascii="Arial" w:hAnsi="Arial" w:cs="Arial"/>
          <w:noProof/>
          <w:szCs w:val="24"/>
        </w:rPr>
        <w:t>cil is</w:t>
      </w:r>
      <w:r w:rsidR="007C2FBE">
        <w:rPr>
          <w:rFonts w:ascii="Arial" w:hAnsi="Arial" w:cs="Arial"/>
          <w:noProof/>
          <w:szCs w:val="24"/>
        </w:rPr>
        <w:t xml:space="preserve"> currently maintaining a</w:t>
      </w:r>
      <w:r w:rsidR="00472B77">
        <w:rPr>
          <w:rFonts w:ascii="Arial" w:hAnsi="Arial" w:cs="Arial"/>
          <w:noProof/>
          <w:szCs w:val="24"/>
        </w:rPr>
        <w:t>n</w:t>
      </w:r>
      <w:r w:rsidR="007C2FBE">
        <w:rPr>
          <w:rFonts w:ascii="Arial" w:hAnsi="Arial" w:cs="Arial"/>
          <w:noProof/>
          <w:szCs w:val="24"/>
        </w:rPr>
        <w:t xml:space="preserve"> </w:t>
      </w:r>
      <w:r w:rsidR="007C2FBE" w:rsidRPr="007C2FBE">
        <w:rPr>
          <w:rFonts w:ascii="Arial" w:hAnsi="Arial" w:cs="Arial"/>
          <w:noProof/>
          <w:szCs w:val="24"/>
        </w:rPr>
        <w:t xml:space="preserve"> </w:t>
      </w:r>
      <w:r w:rsidRPr="007C2FBE">
        <w:rPr>
          <w:rFonts w:ascii="Arial" w:hAnsi="Arial" w:cs="Arial"/>
          <w:noProof/>
          <w:szCs w:val="24"/>
        </w:rPr>
        <w:t>under-borrowed position</w:t>
      </w:r>
      <w:r w:rsidR="007C2FBE">
        <w:rPr>
          <w:rFonts w:ascii="Arial" w:hAnsi="Arial" w:cs="Arial"/>
          <w:noProof/>
          <w:szCs w:val="24"/>
        </w:rPr>
        <w:t xml:space="preserve"> although this has reduced from previous years</w:t>
      </w:r>
      <w:r w:rsidRPr="007C2FBE">
        <w:rPr>
          <w:rFonts w:ascii="Arial" w:hAnsi="Arial" w:cs="Arial"/>
          <w:noProof/>
          <w:szCs w:val="24"/>
        </w:rPr>
        <w:t xml:space="preserve">.  This means that the capital borrowing need (the Capital Financing Requirement), has not been fully funded with loan debt as cash </w:t>
      </w:r>
      <w:r w:rsidRPr="007C2FBE">
        <w:rPr>
          <w:rFonts w:ascii="Arial" w:hAnsi="Arial" w:cs="Arial"/>
          <w:noProof/>
          <w:szCs w:val="24"/>
        </w:rPr>
        <w:lastRenderedPageBreak/>
        <w:t xml:space="preserve">supporting the Council’s reserves, balances and cash flow has been used as a temporary measure. </w:t>
      </w:r>
      <w:r w:rsidR="00472B77">
        <w:rPr>
          <w:rFonts w:ascii="Arial" w:hAnsi="Arial" w:cs="Arial"/>
          <w:noProof/>
          <w:szCs w:val="24"/>
        </w:rPr>
        <w:t>This strategy is prudent as investment returns are low and counterparty risk is still an issue to be considered.</w:t>
      </w:r>
    </w:p>
    <w:p w:rsidR="00E77C75" w:rsidRPr="007C2FBE" w:rsidRDefault="00672C69" w:rsidP="007C2FBE">
      <w:pPr>
        <w:ind w:left="567"/>
        <w:rPr>
          <w:rFonts w:ascii="Arial" w:hAnsi="Arial" w:cs="Arial"/>
          <w:noProof/>
          <w:szCs w:val="24"/>
        </w:rPr>
      </w:pPr>
      <w:r w:rsidRPr="007C2FBE">
        <w:rPr>
          <w:rFonts w:ascii="Arial" w:hAnsi="Arial" w:cs="Arial"/>
          <w:noProof/>
          <w:szCs w:val="24"/>
        </w:rPr>
        <w:t xml:space="preserve"> </w:t>
      </w:r>
    </w:p>
    <w:p w:rsidR="00672C69" w:rsidRDefault="00672C69" w:rsidP="005804A2">
      <w:pPr>
        <w:numPr>
          <w:ilvl w:val="0"/>
          <w:numId w:val="1"/>
        </w:numPr>
        <w:rPr>
          <w:rFonts w:ascii="Arial" w:hAnsi="Arial" w:cs="Arial"/>
          <w:noProof/>
          <w:szCs w:val="24"/>
        </w:rPr>
      </w:pPr>
      <w:r w:rsidRPr="00672C69">
        <w:rPr>
          <w:rFonts w:ascii="Arial" w:hAnsi="Arial" w:cs="Arial"/>
          <w:noProof/>
          <w:szCs w:val="24"/>
        </w:rPr>
        <w:t>Against this background and the risks within the economic forecast, caution will be adopted with the 201</w:t>
      </w:r>
      <w:r w:rsidR="00472B77">
        <w:rPr>
          <w:rFonts w:ascii="Arial" w:hAnsi="Arial" w:cs="Arial"/>
          <w:noProof/>
          <w:szCs w:val="24"/>
        </w:rPr>
        <w:t>9</w:t>
      </w:r>
      <w:r w:rsidR="007C2FBE">
        <w:rPr>
          <w:rFonts w:ascii="Arial" w:hAnsi="Arial" w:cs="Arial"/>
          <w:noProof/>
          <w:szCs w:val="24"/>
        </w:rPr>
        <w:t>/</w:t>
      </w:r>
      <w:r w:rsidR="00472B77">
        <w:rPr>
          <w:rFonts w:ascii="Arial" w:hAnsi="Arial" w:cs="Arial"/>
          <w:noProof/>
          <w:szCs w:val="24"/>
        </w:rPr>
        <w:t>20</w:t>
      </w:r>
      <w:r w:rsidR="00E77C75">
        <w:rPr>
          <w:rFonts w:ascii="Arial" w:hAnsi="Arial" w:cs="Arial"/>
          <w:noProof/>
          <w:szCs w:val="24"/>
        </w:rPr>
        <w:t xml:space="preserve"> </w:t>
      </w:r>
      <w:r w:rsidRPr="00672C69">
        <w:rPr>
          <w:rFonts w:ascii="Arial" w:hAnsi="Arial" w:cs="Arial"/>
          <w:noProof/>
          <w:szCs w:val="24"/>
        </w:rPr>
        <w:t xml:space="preserve">treasury operations.  The </w:t>
      </w:r>
      <w:r w:rsidR="00472B77">
        <w:rPr>
          <w:rFonts w:ascii="Arial" w:hAnsi="Arial" w:cs="Arial"/>
          <w:noProof/>
          <w:szCs w:val="24"/>
        </w:rPr>
        <w:t xml:space="preserve">Assistant </w:t>
      </w:r>
      <w:r w:rsidR="00CF0A3F">
        <w:rPr>
          <w:rFonts w:ascii="Arial" w:hAnsi="Arial" w:cs="Arial"/>
          <w:noProof/>
          <w:szCs w:val="24"/>
        </w:rPr>
        <w:t xml:space="preserve">Director </w:t>
      </w:r>
      <w:r w:rsidR="00472B77">
        <w:rPr>
          <w:rFonts w:ascii="Arial" w:hAnsi="Arial" w:cs="Arial"/>
          <w:noProof/>
          <w:szCs w:val="24"/>
        </w:rPr>
        <w:t xml:space="preserve">Resources </w:t>
      </w:r>
      <w:r w:rsidR="00D307E5">
        <w:rPr>
          <w:rFonts w:ascii="Arial" w:hAnsi="Arial" w:cs="Arial"/>
          <w:noProof/>
          <w:szCs w:val="24"/>
        </w:rPr>
        <w:t>will monitor</w:t>
      </w:r>
      <w:r w:rsidRPr="00672C69">
        <w:rPr>
          <w:rFonts w:ascii="Arial" w:hAnsi="Arial" w:cs="Arial"/>
          <w:noProof/>
          <w:szCs w:val="24"/>
        </w:rPr>
        <w:t xml:space="preserve"> interest rates in financial markets and adopt a pragmatic approach to changing circumstances:</w:t>
      </w:r>
      <w:r w:rsidR="00B6154C">
        <w:rPr>
          <w:rFonts w:ascii="Arial" w:hAnsi="Arial" w:cs="Arial"/>
          <w:noProof/>
          <w:szCs w:val="24"/>
        </w:rPr>
        <w:br/>
      </w:r>
    </w:p>
    <w:p w:rsidR="00672C69" w:rsidRPr="00B6154C" w:rsidRDefault="002D384D" w:rsidP="00B6154C">
      <w:pPr>
        <w:numPr>
          <w:ilvl w:val="1"/>
          <w:numId w:val="1"/>
        </w:numPr>
        <w:rPr>
          <w:rFonts w:ascii="Arial" w:hAnsi="Arial" w:cs="Arial"/>
          <w:noProof/>
          <w:szCs w:val="24"/>
        </w:rPr>
      </w:pPr>
      <w:r w:rsidRPr="00B6154C">
        <w:rPr>
          <w:rFonts w:ascii="Arial" w:hAnsi="Arial" w:cs="Arial"/>
          <w:noProof/>
          <w:szCs w:val="24"/>
        </w:rPr>
        <w:t>I</w:t>
      </w:r>
      <w:r w:rsidR="00672C69" w:rsidRPr="00B6154C">
        <w:rPr>
          <w:rFonts w:ascii="Arial" w:hAnsi="Arial" w:cs="Arial"/>
          <w:noProof/>
          <w:szCs w:val="24"/>
        </w:rPr>
        <w:t>f it was felt that there was a significant risk of a sharp FALL in long and short term rates</w:t>
      </w:r>
      <w:r w:rsidR="00103827" w:rsidRPr="00B6154C">
        <w:rPr>
          <w:rFonts w:ascii="Arial" w:hAnsi="Arial" w:cs="Arial"/>
          <w:noProof/>
          <w:szCs w:val="24"/>
        </w:rPr>
        <w:t xml:space="preserve"> (</w:t>
      </w:r>
      <w:r w:rsidR="00672C69" w:rsidRPr="00B6154C">
        <w:rPr>
          <w:rFonts w:ascii="Arial" w:hAnsi="Arial" w:cs="Arial"/>
          <w:noProof/>
          <w:szCs w:val="24"/>
        </w:rPr>
        <w:t>e</w:t>
      </w:r>
      <w:r w:rsidRPr="00B6154C">
        <w:rPr>
          <w:rFonts w:ascii="Arial" w:hAnsi="Arial" w:cs="Arial"/>
          <w:noProof/>
          <w:szCs w:val="24"/>
        </w:rPr>
        <w:t>g</w:t>
      </w:r>
      <w:r w:rsidR="00672C69" w:rsidRPr="00B6154C">
        <w:rPr>
          <w:rFonts w:ascii="Arial" w:hAnsi="Arial" w:cs="Arial"/>
          <w:noProof/>
          <w:szCs w:val="24"/>
        </w:rPr>
        <w:t xml:space="preserve"> due to a marked increase of risks around relapse into recession or of risks of deflation</w:t>
      </w:r>
      <w:r w:rsidR="00103827" w:rsidRPr="00B6154C">
        <w:rPr>
          <w:rFonts w:ascii="Arial" w:hAnsi="Arial" w:cs="Arial"/>
          <w:noProof/>
          <w:szCs w:val="24"/>
        </w:rPr>
        <w:t>)</w:t>
      </w:r>
      <w:r w:rsidR="00672C69" w:rsidRPr="00B6154C">
        <w:rPr>
          <w:rFonts w:ascii="Arial" w:hAnsi="Arial" w:cs="Arial"/>
          <w:noProof/>
          <w:szCs w:val="24"/>
        </w:rPr>
        <w:t>, then long term borrowings will be postponed, and potential rescheduling from fixed rate funding into short term borrowing will be considered.</w:t>
      </w:r>
    </w:p>
    <w:p w:rsidR="00672C69" w:rsidRPr="002D384D" w:rsidRDefault="00672C69" w:rsidP="005804A2">
      <w:pPr>
        <w:ind w:left="720" w:hanging="360"/>
        <w:jc w:val="both"/>
        <w:rPr>
          <w:rFonts w:ascii="Arial" w:hAnsi="Arial" w:cs="Arial"/>
          <w:noProof/>
          <w:szCs w:val="24"/>
        </w:rPr>
      </w:pPr>
    </w:p>
    <w:p w:rsidR="00103827" w:rsidRDefault="002D384D" w:rsidP="00B6154C">
      <w:pPr>
        <w:numPr>
          <w:ilvl w:val="1"/>
          <w:numId w:val="1"/>
        </w:numPr>
        <w:rPr>
          <w:rFonts w:ascii="Arial" w:hAnsi="Arial" w:cs="Arial"/>
          <w:noProof/>
          <w:szCs w:val="24"/>
        </w:rPr>
      </w:pPr>
      <w:r w:rsidRPr="00F07C6B">
        <w:rPr>
          <w:rFonts w:ascii="Arial" w:hAnsi="Arial" w:cs="Arial"/>
          <w:noProof/>
          <w:szCs w:val="24"/>
        </w:rPr>
        <w:t>I</w:t>
      </w:r>
      <w:r w:rsidR="00672C69" w:rsidRPr="00F07C6B">
        <w:rPr>
          <w:rFonts w:ascii="Arial" w:hAnsi="Arial" w:cs="Arial"/>
          <w:noProof/>
          <w:szCs w:val="24"/>
        </w:rPr>
        <w:t>f it was felt that there was a significant risk of a much sharper RISE in long and short term rates than that currently forecast, perhaps arising from a</w:t>
      </w:r>
      <w:r w:rsidR="00F07C6B" w:rsidRPr="00F07C6B">
        <w:rPr>
          <w:rFonts w:ascii="Arial" w:hAnsi="Arial" w:cs="Arial"/>
          <w:noProof/>
          <w:szCs w:val="24"/>
        </w:rPr>
        <w:t>n accelerati</w:t>
      </w:r>
      <w:r w:rsidR="00481C39">
        <w:rPr>
          <w:rFonts w:ascii="Arial" w:hAnsi="Arial" w:cs="Arial"/>
          <w:noProof/>
          <w:szCs w:val="24"/>
        </w:rPr>
        <w:t>o</w:t>
      </w:r>
      <w:r w:rsidR="00F07C6B" w:rsidRPr="00F07C6B">
        <w:rPr>
          <w:rFonts w:ascii="Arial" w:hAnsi="Arial" w:cs="Arial"/>
          <w:noProof/>
          <w:szCs w:val="24"/>
        </w:rPr>
        <w:t xml:space="preserve">n in the rate of increase in central rates in the USA and UK, an increase </w:t>
      </w:r>
      <w:r w:rsidR="00F07C6B">
        <w:rPr>
          <w:rFonts w:ascii="Arial" w:hAnsi="Arial" w:cs="Arial"/>
          <w:noProof/>
          <w:szCs w:val="24"/>
        </w:rPr>
        <w:t>in</w:t>
      </w:r>
      <w:r w:rsidR="002A2759">
        <w:rPr>
          <w:rFonts w:ascii="Arial" w:hAnsi="Arial" w:cs="Arial"/>
          <w:noProof/>
          <w:szCs w:val="24"/>
        </w:rPr>
        <w:t xml:space="preserve"> </w:t>
      </w:r>
      <w:r w:rsidR="00F07C6B">
        <w:rPr>
          <w:rFonts w:ascii="Arial" w:hAnsi="Arial" w:cs="Arial"/>
          <w:noProof/>
          <w:szCs w:val="24"/>
        </w:rPr>
        <w:t>world econonmic activity or a sudden increase in inflation risks, then the portfolio position will be re-appraised.  Most likely, fixed rate funding will be drawn whilst interest rates are lower than they are projected to be in the next few years</w:t>
      </w:r>
      <w:r w:rsidR="0027130F">
        <w:rPr>
          <w:rFonts w:ascii="Arial" w:hAnsi="Arial" w:cs="Arial"/>
          <w:noProof/>
          <w:szCs w:val="24"/>
        </w:rPr>
        <w:t>.</w:t>
      </w:r>
    </w:p>
    <w:p w:rsidR="00EB7B2D" w:rsidRDefault="00EB7B2D" w:rsidP="005804A2">
      <w:pPr>
        <w:rPr>
          <w:rFonts w:ascii="Arial" w:hAnsi="Arial" w:cs="Arial"/>
          <w:noProof/>
          <w:szCs w:val="24"/>
        </w:rPr>
      </w:pPr>
    </w:p>
    <w:p w:rsidR="006A7CA1" w:rsidRDefault="006A7CA1" w:rsidP="005804A2">
      <w:pPr>
        <w:pStyle w:val="BodyText2"/>
        <w:rPr>
          <w:rFonts w:cs="Arial"/>
          <w:b/>
          <w:color w:val="auto"/>
          <w:sz w:val="24"/>
        </w:rPr>
      </w:pPr>
      <w:r w:rsidRPr="006A7CA1">
        <w:rPr>
          <w:rFonts w:cs="Arial"/>
          <w:b/>
          <w:color w:val="auto"/>
          <w:sz w:val="24"/>
        </w:rPr>
        <w:t>Treasury Management Limits on Activity</w:t>
      </w:r>
    </w:p>
    <w:p w:rsidR="00B6154C" w:rsidRPr="006A7CA1" w:rsidRDefault="00B6154C" w:rsidP="005804A2">
      <w:pPr>
        <w:pStyle w:val="BodyText2"/>
        <w:rPr>
          <w:rFonts w:cs="Arial"/>
          <w:b/>
          <w:color w:val="auto"/>
          <w:sz w:val="24"/>
        </w:rPr>
      </w:pPr>
    </w:p>
    <w:p w:rsidR="006A7CA1" w:rsidRPr="00116C42" w:rsidRDefault="006A7CA1" w:rsidP="005804A2">
      <w:pPr>
        <w:numPr>
          <w:ilvl w:val="0"/>
          <w:numId w:val="1"/>
        </w:numPr>
        <w:rPr>
          <w:rFonts w:ascii="Arial" w:hAnsi="Arial" w:cs="Arial"/>
          <w:szCs w:val="24"/>
        </w:rPr>
      </w:pPr>
      <w:r w:rsidRPr="00116C42">
        <w:rPr>
          <w:rFonts w:ascii="Arial" w:hAnsi="Arial" w:cs="Arial"/>
          <w:szCs w:val="24"/>
        </w:rPr>
        <w:t xml:space="preserve">There are three debt related treasury activity limits.  The purpose of these are to restrain the activity of the treasury function within certain limits, thereby managing risk and reducing the impact of any adverse movement in interest rates.  </w:t>
      </w:r>
      <w:r w:rsidRPr="00116C42">
        <w:rPr>
          <w:rFonts w:ascii="Arial" w:hAnsi="Arial" w:cs="Arial"/>
          <w:iCs/>
          <w:szCs w:val="24"/>
        </w:rPr>
        <w:t>However, if these are set to be too restrictive they will impair the opportunities to reduce costs/improve performance</w:t>
      </w:r>
      <w:r w:rsidRPr="00116C42">
        <w:rPr>
          <w:rFonts w:ascii="Arial" w:hAnsi="Arial" w:cs="Arial"/>
          <w:i/>
          <w:iCs/>
          <w:szCs w:val="24"/>
        </w:rPr>
        <w:t>.</w:t>
      </w:r>
      <w:r w:rsidRPr="00116C42">
        <w:rPr>
          <w:rFonts w:ascii="Arial" w:hAnsi="Arial" w:cs="Arial"/>
          <w:szCs w:val="24"/>
        </w:rPr>
        <w:t xml:space="preserve">  The indicators are:</w:t>
      </w:r>
    </w:p>
    <w:p w:rsidR="006A7CA1" w:rsidRPr="00116C42" w:rsidRDefault="006A7CA1" w:rsidP="005804A2">
      <w:pPr>
        <w:rPr>
          <w:rFonts w:ascii="Arial" w:hAnsi="Arial" w:cs="Arial"/>
          <w:szCs w:val="24"/>
        </w:rPr>
      </w:pPr>
    </w:p>
    <w:p w:rsidR="006A7CA1" w:rsidRPr="00116C42" w:rsidRDefault="006A7CA1" w:rsidP="00B6154C">
      <w:pPr>
        <w:numPr>
          <w:ilvl w:val="1"/>
          <w:numId w:val="1"/>
        </w:numPr>
        <w:rPr>
          <w:rFonts w:ascii="Arial" w:hAnsi="Arial" w:cs="Arial"/>
          <w:szCs w:val="24"/>
        </w:rPr>
      </w:pPr>
      <w:r w:rsidRPr="00116C42">
        <w:rPr>
          <w:rFonts w:ascii="Arial" w:hAnsi="Arial" w:cs="Arial"/>
          <w:szCs w:val="24"/>
        </w:rPr>
        <w:t xml:space="preserve">Upper limits on variable interest rate exposure. This identifies a maximum limit for variable interest rates based upon the debt </w:t>
      </w:r>
      <w:r w:rsidRPr="00116C42">
        <w:rPr>
          <w:rFonts w:ascii="Arial" w:hAnsi="Arial" w:cs="Arial"/>
          <w:noProof/>
          <w:szCs w:val="24"/>
        </w:rPr>
        <w:t>position</w:t>
      </w:r>
      <w:r w:rsidRPr="00116C42">
        <w:rPr>
          <w:rFonts w:ascii="Arial" w:hAnsi="Arial" w:cs="Arial"/>
          <w:szCs w:val="24"/>
        </w:rPr>
        <w:t xml:space="preserve"> net of investments </w:t>
      </w:r>
    </w:p>
    <w:p w:rsidR="006A7CA1" w:rsidRPr="00116C42" w:rsidRDefault="006A7CA1" w:rsidP="005804A2">
      <w:pPr>
        <w:ind w:left="454"/>
        <w:rPr>
          <w:rFonts w:ascii="Arial" w:hAnsi="Arial" w:cs="Arial"/>
          <w:szCs w:val="24"/>
        </w:rPr>
      </w:pPr>
    </w:p>
    <w:p w:rsidR="006A7CA1" w:rsidRPr="00116C42" w:rsidRDefault="006A7CA1" w:rsidP="00B6154C">
      <w:pPr>
        <w:numPr>
          <w:ilvl w:val="1"/>
          <w:numId w:val="1"/>
        </w:numPr>
        <w:rPr>
          <w:rFonts w:ascii="Arial" w:hAnsi="Arial" w:cs="Arial"/>
          <w:szCs w:val="24"/>
        </w:rPr>
      </w:pPr>
      <w:r w:rsidRPr="00116C42">
        <w:rPr>
          <w:rFonts w:ascii="Arial" w:hAnsi="Arial" w:cs="Arial"/>
          <w:szCs w:val="24"/>
        </w:rPr>
        <w:t xml:space="preserve">Upper limits on fixed interest rate exposure.  This is similar to the </w:t>
      </w:r>
      <w:r w:rsidRPr="00116C42">
        <w:rPr>
          <w:rFonts w:ascii="Arial" w:hAnsi="Arial" w:cs="Arial"/>
          <w:noProof/>
          <w:szCs w:val="24"/>
        </w:rPr>
        <w:t>previous</w:t>
      </w:r>
      <w:r w:rsidRPr="00116C42">
        <w:rPr>
          <w:rFonts w:ascii="Arial" w:hAnsi="Arial" w:cs="Arial"/>
          <w:szCs w:val="24"/>
        </w:rPr>
        <w:t xml:space="preserve"> indicator and covers a maximum limit on fixed interest rates;</w:t>
      </w:r>
    </w:p>
    <w:p w:rsidR="006A7CA1" w:rsidRPr="00116C42" w:rsidRDefault="006A7CA1" w:rsidP="005804A2">
      <w:pPr>
        <w:rPr>
          <w:rFonts w:ascii="Arial" w:hAnsi="Arial" w:cs="Arial"/>
          <w:szCs w:val="24"/>
        </w:rPr>
      </w:pPr>
    </w:p>
    <w:p w:rsidR="001E19BF" w:rsidRPr="00116C42" w:rsidRDefault="006A7CA1" w:rsidP="00A937AB">
      <w:pPr>
        <w:numPr>
          <w:ilvl w:val="1"/>
          <w:numId w:val="1"/>
        </w:numPr>
        <w:overflowPunct/>
        <w:autoSpaceDE/>
        <w:autoSpaceDN/>
        <w:adjustRightInd/>
        <w:textAlignment w:val="auto"/>
        <w:rPr>
          <w:rFonts w:ascii="Arial" w:hAnsi="Arial" w:cs="Arial"/>
          <w:szCs w:val="24"/>
        </w:rPr>
      </w:pPr>
      <w:r w:rsidRPr="00116C42">
        <w:rPr>
          <w:rFonts w:ascii="Arial" w:hAnsi="Arial" w:cs="Arial"/>
          <w:szCs w:val="24"/>
        </w:rPr>
        <w:t xml:space="preserve">Maturity structure of borrowing. These gross limits are set to </w:t>
      </w:r>
      <w:r w:rsidRPr="00116C42">
        <w:rPr>
          <w:rFonts w:ascii="Arial" w:hAnsi="Arial" w:cs="Arial"/>
          <w:noProof/>
          <w:szCs w:val="24"/>
        </w:rPr>
        <w:t>reduce</w:t>
      </w:r>
      <w:r w:rsidRPr="00116C42">
        <w:rPr>
          <w:rFonts w:ascii="Arial" w:hAnsi="Arial" w:cs="Arial"/>
          <w:szCs w:val="24"/>
        </w:rPr>
        <w:t xml:space="preserve"> the Council’s exposure to large fixed rate sums falling due for refinancing, and are required for upper and lower limits.  The Council is asked to approve the following treasury indicators and limits:</w:t>
      </w:r>
    </w:p>
    <w:p w:rsidR="0027130F" w:rsidRDefault="0027130F" w:rsidP="0027130F">
      <w:pPr>
        <w:pStyle w:val="ListParagraph"/>
        <w:rPr>
          <w:rFonts w:ascii="Arial" w:hAnsi="Arial" w:cs="Arial"/>
          <w:szCs w:val="24"/>
        </w:rPr>
      </w:pPr>
    </w:p>
    <w:p w:rsidR="00116C42" w:rsidRDefault="00116C42" w:rsidP="005804A2">
      <w:pPr>
        <w:pStyle w:val="BodyText"/>
        <w:spacing w:after="0"/>
        <w:jc w:val="both"/>
        <w:rPr>
          <w:rFonts w:ascii="Arial" w:hAnsi="Arial" w:cs="Arial"/>
          <w:b/>
          <w:szCs w:val="22"/>
        </w:rPr>
      </w:pPr>
    </w:p>
    <w:p w:rsidR="00116C42" w:rsidRDefault="00116C42" w:rsidP="005804A2">
      <w:pPr>
        <w:pStyle w:val="BodyText"/>
        <w:spacing w:after="0"/>
        <w:jc w:val="both"/>
        <w:rPr>
          <w:rFonts w:ascii="Arial" w:hAnsi="Arial" w:cs="Arial"/>
          <w:b/>
          <w:szCs w:val="22"/>
        </w:rPr>
      </w:pPr>
    </w:p>
    <w:p w:rsidR="00116C42" w:rsidRDefault="00116C42" w:rsidP="005804A2">
      <w:pPr>
        <w:pStyle w:val="BodyText"/>
        <w:spacing w:after="0"/>
        <w:jc w:val="both"/>
        <w:rPr>
          <w:rFonts w:ascii="Arial" w:hAnsi="Arial" w:cs="Arial"/>
          <w:b/>
          <w:szCs w:val="22"/>
        </w:rPr>
      </w:pPr>
    </w:p>
    <w:p w:rsidR="00116C42" w:rsidRDefault="00116C42" w:rsidP="005804A2">
      <w:pPr>
        <w:pStyle w:val="BodyText"/>
        <w:spacing w:after="0"/>
        <w:jc w:val="both"/>
        <w:rPr>
          <w:rFonts w:ascii="Arial" w:hAnsi="Arial" w:cs="Arial"/>
          <w:b/>
          <w:szCs w:val="22"/>
        </w:rPr>
      </w:pPr>
    </w:p>
    <w:p w:rsidR="00116C42" w:rsidRDefault="00116C42" w:rsidP="005804A2">
      <w:pPr>
        <w:pStyle w:val="BodyText"/>
        <w:spacing w:after="0"/>
        <w:jc w:val="both"/>
        <w:rPr>
          <w:rFonts w:ascii="Arial" w:hAnsi="Arial" w:cs="Arial"/>
          <w:b/>
          <w:szCs w:val="22"/>
        </w:rPr>
      </w:pPr>
    </w:p>
    <w:p w:rsidR="00116C42" w:rsidRDefault="00116C42" w:rsidP="005804A2">
      <w:pPr>
        <w:pStyle w:val="BodyText"/>
        <w:spacing w:after="0"/>
        <w:jc w:val="both"/>
        <w:rPr>
          <w:rFonts w:ascii="Arial" w:hAnsi="Arial" w:cs="Arial"/>
          <w:b/>
          <w:szCs w:val="22"/>
        </w:rPr>
      </w:pPr>
    </w:p>
    <w:p w:rsidR="00116C42" w:rsidRDefault="00116C42" w:rsidP="005804A2">
      <w:pPr>
        <w:pStyle w:val="BodyText"/>
        <w:spacing w:after="0"/>
        <w:jc w:val="both"/>
        <w:rPr>
          <w:rFonts w:ascii="Arial" w:hAnsi="Arial" w:cs="Arial"/>
          <w:b/>
          <w:szCs w:val="22"/>
        </w:rPr>
      </w:pPr>
    </w:p>
    <w:p w:rsidR="00116C42" w:rsidRDefault="00116C42" w:rsidP="005804A2">
      <w:pPr>
        <w:pStyle w:val="BodyText"/>
        <w:spacing w:after="0"/>
        <w:jc w:val="both"/>
        <w:rPr>
          <w:rFonts w:ascii="Arial" w:hAnsi="Arial" w:cs="Arial"/>
          <w:b/>
          <w:szCs w:val="22"/>
        </w:rPr>
      </w:pPr>
    </w:p>
    <w:p w:rsidR="006A7CA1" w:rsidRDefault="007B6896" w:rsidP="005804A2">
      <w:pPr>
        <w:pStyle w:val="BodyText"/>
        <w:spacing w:after="0"/>
        <w:jc w:val="both"/>
        <w:rPr>
          <w:rFonts w:ascii="Arial" w:hAnsi="Arial" w:cs="Arial"/>
          <w:b/>
          <w:szCs w:val="22"/>
        </w:rPr>
      </w:pPr>
      <w:r>
        <w:rPr>
          <w:rFonts w:ascii="Arial" w:hAnsi="Arial" w:cs="Arial"/>
          <w:b/>
          <w:szCs w:val="22"/>
        </w:rPr>
        <w:t>Table 1</w:t>
      </w:r>
      <w:r w:rsidR="00BC3DA3">
        <w:rPr>
          <w:rFonts w:ascii="Arial" w:hAnsi="Arial" w:cs="Arial"/>
          <w:b/>
          <w:szCs w:val="22"/>
        </w:rPr>
        <w:t>2</w:t>
      </w:r>
      <w:r w:rsidR="006A7CA1" w:rsidRPr="00042442">
        <w:rPr>
          <w:rFonts w:ascii="Arial" w:hAnsi="Arial" w:cs="Arial"/>
          <w:b/>
          <w:szCs w:val="22"/>
        </w:rPr>
        <w:t xml:space="preserve"> Interest Rate Exposure</w:t>
      </w:r>
    </w:p>
    <w:p w:rsidR="008E582B" w:rsidRPr="00042442" w:rsidRDefault="008E582B" w:rsidP="005804A2">
      <w:pPr>
        <w:pStyle w:val="BodyText"/>
        <w:spacing w:after="0"/>
        <w:jc w:val="both"/>
        <w:rPr>
          <w:rFonts w:ascii="Arial" w:hAnsi="Arial" w:cs="Arial"/>
          <w:b/>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827"/>
        <w:gridCol w:w="1953"/>
        <w:gridCol w:w="1732"/>
      </w:tblGrid>
      <w:tr w:rsidR="006A7CA1" w:rsidRPr="00042442" w:rsidTr="008E582B">
        <w:trPr>
          <w:cantSplit/>
        </w:trPr>
        <w:tc>
          <w:tcPr>
            <w:tcW w:w="2988" w:type="dxa"/>
            <w:shd w:val="clear" w:color="auto" w:fill="D9D9D9"/>
          </w:tcPr>
          <w:p w:rsidR="006A7CA1" w:rsidRPr="003529B9" w:rsidRDefault="006A7CA1" w:rsidP="005804A2">
            <w:pPr>
              <w:pStyle w:val="BodyText"/>
              <w:spacing w:after="0"/>
              <w:jc w:val="center"/>
              <w:rPr>
                <w:rFonts w:ascii="Arial" w:hAnsi="Arial" w:cs="Arial"/>
                <w:b/>
                <w:bCs/>
                <w:szCs w:val="22"/>
              </w:rPr>
            </w:pPr>
          </w:p>
        </w:tc>
        <w:tc>
          <w:tcPr>
            <w:tcW w:w="1827" w:type="dxa"/>
            <w:shd w:val="clear" w:color="auto" w:fill="D9D9D9"/>
          </w:tcPr>
          <w:p w:rsidR="006A7CA1" w:rsidRPr="003529B9" w:rsidRDefault="00F45AC7" w:rsidP="008E582B">
            <w:pPr>
              <w:pStyle w:val="BodyText"/>
              <w:spacing w:after="0"/>
              <w:jc w:val="center"/>
              <w:rPr>
                <w:rFonts w:ascii="Arial" w:hAnsi="Arial" w:cs="Arial"/>
                <w:b/>
                <w:bCs/>
                <w:szCs w:val="22"/>
              </w:rPr>
            </w:pPr>
            <w:r w:rsidRPr="003529B9">
              <w:rPr>
                <w:rFonts w:ascii="Arial" w:hAnsi="Arial" w:cs="Arial"/>
                <w:b/>
                <w:bCs/>
                <w:szCs w:val="22"/>
              </w:rPr>
              <w:t>201</w:t>
            </w:r>
            <w:r w:rsidR="008E582B" w:rsidRPr="003529B9">
              <w:rPr>
                <w:rFonts w:ascii="Arial" w:hAnsi="Arial" w:cs="Arial"/>
                <w:b/>
                <w:bCs/>
                <w:szCs w:val="22"/>
              </w:rPr>
              <w:t>9</w:t>
            </w:r>
            <w:r w:rsidRPr="003529B9">
              <w:rPr>
                <w:rFonts w:ascii="Arial" w:hAnsi="Arial" w:cs="Arial"/>
                <w:b/>
                <w:bCs/>
                <w:szCs w:val="22"/>
              </w:rPr>
              <w:t>/</w:t>
            </w:r>
            <w:r w:rsidR="008E582B" w:rsidRPr="003529B9">
              <w:rPr>
                <w:rFonts w:ascii="Arial" w:hAnsi="Arial" w:cs="Arial"/>
                <w:b/>
                <w:bCs/>
                <w:szCs w:val="22"/>
              </w:rPr>
              <w:t>20</w:t>
            </w:r>
          </w:p>
        </w:tc>
        <w:tc>
          <w:tcPr>
            <w:tcW w:w="1953" w:type="dxa"/>
            <w:shd w:val="clear" w:color="auto" w:fill="D9D9D9"/>
          </w:tcPr>
          <w:p w:rsidR="006A7CA1" w:rsidRPr="003529B9" w:rsidRDefault="00F45AC7" w:rsidP="008E582B">
            <w:pPr>
              <w:pStyle w:val="BodyText"/>
              <w:spacing w:after="0"/>
              <w:jc w:val="center"/>
              <w:rPr>
                <w:rFonts w:ascii="Arial" w:hAnsi="Arial" w:cs="Arial"/>
                <w:b/>
                <w:bCs/>
                <w:szCs w:val="22"/>
              </w:rPr>
            </w:pPr>
            <w:r w:rsidRPr="003529B9">
              <w:rPr>
                <w:rFonts w:ascii="Arial" w:hAnsi="Arial" w:cs="Arial"/>
                <w:b/>
                <w:bCs/>
                <w:szCs w:val="22"/>
              </w:rPr>
              <w:t>20</w:t>
            </w:r>
            <w:r w:rsidR="008E582B" w:rsidRPr="003529B9">
              <w:rPr>
                <w:rFonts w:ascii="Arial" w:hAnsi="Arial" w:cs="Arial"/>
                <w:b/>
                <w:bCs/>
                <w:szCs w:val="22"/>
              </w:rPr>
              <w:t>20</w:t>
            </w:r>
            <w:r w:rsidRPr="003529B9">
              <w:rPr>
                <w:rFonts w:ascii="Arial" w:hAnsi="Arial" w:cs="Arial"/>
                <w:b/>
                <w:bCs/>
                <w:szCs w:val="22"/>
              </w:rPr>
              <w:t>/2</w:t>
            </w:r>
            <w:r w:rsidR="008E582B" w:rsidRPr="003529B9">
              <w:rPr>
                <w:rFonts w:ascii="Arial" w:hAnsi="Arial" w:cs="Arial"/>
                <w:b/>
                <w:bCs/>
                <w:szCs w:val="22"/>
              </w:rPr>
              <w:t>1</w:t>
            </w:r>
          </w:p>
        </w:tc>
        <w:tc>
          <w:tcPr>
            <w:tcW w:w="1732" w:type="dxa"/>
            <w:shd w:val="clear" w:color="auto" w:fill="D9D9D9"/>
          </w:tcPr>
          <w:p w:rsidR="006A7CA1" w:rsidRPr="003529B9" w:rsidRDefault="00F45AC7" w:rsidP="008E582B">
            <w:pPr>
              <w:pStyle w:val="BodyText"/>
              <w:spacing w:after="0"/>
              <w:jc w:val="center"/>
              <w:rPr>
                <w:rFonts w:ascii="Arial" w:hAnsi="Arial" w:cs="Arial"/>
                <w:b/>
                <w:bCs/>
                <w:szCs w:val="22"/>
              </w:rPr>
            </w:pPr>
            <w:r w:rsidRPr="003529B9">
              <w:rPr>
                <w:rFonts w:ascii="Arial" w:hAnsi="Arial" w:cs="Arial"/>
                <w:b/>
                <w:bCs/>
                <w:szCs w:val="22"/>
              </w:rPr>
              <w:t>202</w:t>
            </w:r>
            <w:r w:rsidR="008E582B" w:rsidRPr="003529B9">
              <w:rPr>
                <w:rFonts w:ascii="Arial" w:hAnsi="Arial" w:cs="Arial"/>
                <w:b/>
                <w:bCs/>
                <w:szCs w:val="22"/>
              </w:rPr>
              <w:t>1</w:t>
            </w:r>
            <w:r w:rsidRPr="003529B9">
              <w:rPr>
                <w:rFonts w:ascii="Arial" w:hAnsi="Arial" w:cs="Arial"/>
                <w:b/>
                <w:bCs/>
                <w:szCs w:val="22"/>
              </w:rPr>
              <w:t>/2</w:t>
            </w:r>
            <w:r w:rsidR="008E582B" w:rsidRPr="003529B9">
              <w:rPr>
                <w:rFonts w:ascii="Arial" w:hAnsi="Arial" w:cs="Arial"/>
                <w:b/>
                <w:bCs/>
                <w:szCs w:val="22"/>
              </w:rPr>
              <w:t>2</w:t>
            </w:r>
          </w:p>
        </w:tc>
      </w:tr>
      <w:tr w:rsidR="006A7CA1" w:rsidRPr="00042442" w:rsidTr="008E582B">
        <w:tc>
          <w:tcPr>
            <w:tcW w:w="2988" w:type="dxa"/>
            <w:shd w:val="clear" w:color="auto" w:fill="auto"/>
          </w:tcPr>
          <w:p w:rsidR="006A7CA1" w:rsidRPr="003529B9" w:rsidRDefault="006A7CA1" w:rsidP="005804A2">
            <w:pPr>
              <w:pStyle w:val="BodyText"/>
              <w:spacing w:after="0"/>
              <w:rPr>
                <w:rFonts w:ascii="Arial" w:hAnsi="Arial" w:cs="Arial"/>
                <w:b/>
                <w:bCs/>
                <w:szCs w:val="22"/>
              </w:rPr>
            </w:pPr>
          </w:p>
        </w:tc>
        <w:tc>
          <w:tcPr>
            <w:tcW w:w="1827" w:type="dxa"/>
            <w:shd w:val="clear" w:color="auto" w:fill="auto"/>
          </w:tcPr>
          <w:p w:rsidR="006A7CA1" w:rsidRPr="003529B9" w:rsidRDefault="006A7CA1" w:rsidP="005804A2">
            <w:pPr>
              <w:pStyle w:val="BodyText"/>
              <w:spacing w:after="0"/>
              <w:jc w:val="center"/>
              <w:rPr>
                <w:rFonts w:ascii="Arial" w:hAnsi="Arial" w:cs="Arial"/>
                <w:b/>
                <w:bCs/>
                <w:szCs w:val="22"/>
              </w:rPr>
            </w:pPr>
            <w:r w:rsidRPr="003529B9">
              <w:rPr>
                <w:rFonts w:ascii="Arial" w:hAnsi="Arial" w:cs="Arial"/>
                <w:b/>
                <w:bCs/>
                <w:szCs w:val="22"/>
              </w:rPr>
              <w:t>Upper</w:t>
            </w:r>
          </w:p>
        </w:tc>
        <w:tc>
          <w:tcPr>
            <w:tcW w:w="1953" w:type="dxa"/>
            <w:shd w:val="clear" w:color="auto" w:fill="auto"/>
          </w:tcPr>
          <w:p w:rsidR="006A7CA1" w:rsidRPr="003529B9" w:rsidRDefault="006A7CA1" w:rsidP="005804A2">
            <w:pPr>
              <w:pStyle w:val="BodyText"/>
              <w:spacing w:after="0"/>
              <w:jc w:val="center"/>
              <w:rPr>
                <w:rFonts w:ascii="Arial" w:hAnsi="Arial" w:cs="Arial"/>
                <w:b/>
                <w:bCs/>
                <w:szCs w:val="22"/>
              </w:rPr>
            </w:pPr>
            <w:r w:rsidRPr="003529B9">
              <w:rPr>
                <w:rFonts w:ascii="Arial" w:hAnsi="Arial" w:cs="Arial"/>
                <w:b/>
                <w:bCs/>
                <w:szCs w:val="22"/>
              </w:rPr>
              <w:t>Upper</w:t>
            </w:r>
          </w:p>
        </w:tc>
        <w:tc>
          <w:tcPr>
            <w:tcW w:w="1732" w:type="dxa"/>
            <w:shd w:val="clear" w:color="auto" w:fill="auto"/>
          </w:tcPr>
          <w:p w:rsidR="006A7CA1" w:rsidRPr="003529B9" w:rsidRDefault="006A7CA1" w:rsidP="005804A2">
            <w:pPr>
              <w:pStyle w:val="BodyText"/>
              <w:spacing w:after="0"/>
              <w:jc w:val="center"/>
              <w:rPr>
                <w:rFonts w:ascii="Arial" w:hAnsi="Arial" w:cs="Arial"/>
                <w:b/>
                <w:bCs/>
                <w:szCs w:val="22"/>
              </w:rPr>
            </w:pPr>
            <w:r w:rsidRPr="003529B9">
              <w:rPr>
                <w:rFonts w:ascii="Arial" w:hAnsi="Arial" w:cs="Arial"/>
                <w:b/>
                <w:bCs/>
                <w:szCs w:val="22"/>
              </w:rPr>
              <w:t>Upper</w:t>
            </w:r>
          </w:p>
        </w:tc>
      </w:tr>
      <w:tr w:rsidR="006A7CA1" w:rsidRPr="00042442" w:rsidTr="008E582B">
        <w:tc>
          <w:tcPr>
            <w:tcW w:w="2988" w:type="dxa"/>
            <w:vAlign w:val="center"/>
          </w:tcPr>
          <w:p w:rsidR="006A7CA1" w:rsidRPr="003529B9" w:rsidRDefault="006A7CA1" w:rsidP="005804A2">
            <w:pPr>
              <w:pStyle w:val="BodyText"/>
              <w:spacing w:after="0"/>
              <w:rPr>
                <w:rFonts w:ascii="Arial" w:hAnsi="Arial" w:cs="Arial"/>
                <w:b/>
                <w:bCs/>
                <w:szCs w:val="22"/>
              </w:rPr>
            </w:pPr>
            <w:r w:rsidRPr="003529B9">
              <w:rPr>
                <w:rFonts w:ascii="Arial" w:hAnsi="Arial" w:cs="Arial"/>
                <w:b/>
                <w:bCs/>
                <w:szCs w:val="22"/>
              </w:rPr>
              <w:t>Limits on fixed interest rates based on net debt</w:t>
            </w:r>
          </w:p>
        </w:tc>
        <w:tc>
          <w:tcPr>
            <w:tcW w:w="1827" w:type="dxa"/>
            <w:vAlign w:val="center"/>
          </w:tcPr>
          <w:p w:rsidR="006A7CA1" w:rsidRPr="003529B9" w:rsidRDefault="006A7CA1" w:rsidP="005804A2">
            <w:pPr>
              <w:pStyle w:val="BodyText"/>
              <w:spacing w:after="0"/>
              <w:jc w:val="center"/>
              <w:rPr>
                <w:rFonts w:ascii="Arial" w:hAnsi="Arial" w:cs="Arial"/>
                <w:szCs w:val="22"/>
              </w:rPr>
            </w:pPr>
            <w:r w:rsidRPr="003529B9">
              <w:rPr>
                <w:rFonts w:ascii="Arial" w:hAnsi="Arial" w:cs="Arial"/>
                <w:szCs w:val="22"/>
              </w:rPr>
              <w:t>100%</w:t>
            </w:r>
          </w:p>
        </w:tc>
        <w:tc>
          <w:tcPr>
            <w:tcW w:w="1953" w:type="dxa"/>
            <w:vAlign w:val="center"/>
          </w:tcPr>
          <w:p w:rsidR="006A7CA1" w:rsidRPr="003529B9" w:rsidRDefault="006A7CA1" w:rsidP="005804A2">
            <w:pPr>
              <w:pStyle w:val="BodyText"/>
              <w:spacing w:after="0"/>
              <w:jc w:val="center"/>
              <w:rPr>
                <w:rFonts w:ascii="Arial" w:hAnsi="Arial" w:cs="Arial"/>
                <w:szCs w:val="22"/>
              </w:rPr>
            </w:pPr>
            <w:r w:rsidRPr="003529B9">
              <w:rPr>
                <w:rFonts w:ascii="Arial" w:hAnsi="Arial" w:cs="Arial"/>
                <w:szCs w:val="22"/>
              </w:rPr>
              <w:t>100%</w:t>
            </w:r>
          </w:p>
        </w:tc>
        <w:tc>
          <w:tcPr>
            <w:tcW w:w="1732" w:type="dxa"/>
            <w:vAlign w:val="center"/>
          </w:tcPr>
          <w:p w:rsidR="006A7CA1" w:rsidRPr="003529B9" w:rsidRDefault="006A7CA1" w:rsidP="005804A2">
            <w:pPr>
              <w:pStyle w:val="BodyText"/>
              <w:spacing w:after="0"/>
              <w:jc w:val="center"/>
              <w:rPr>
                <w:rFonts w:ascii="Arial" w:hAnsi="Arial" w:cs="Arial"/>
                <w:szCs w:val="22"/>
              </w:rPr>
            </w:pPr>
            <w:r w:rsidRPr="003529B9">
              <w:rPr>
                <w:rFonts w:ascii="Arial" w:hAnsi="Arial" w:cs="Arial"/>
                <w:szCs w:val="22"/>
              </w:rPr>
              <w:t>100%</w:t>
            </w:r>
          </w:p>
        </w:tc>
      </w:tr>
      <w:tr w:rsidR="006A7CA1" w:rsidRPr="00042442" w:rsidTr="008E582B">
        <w:tc>
          <w:tcPr>
            <w:tcW w:w="2988" w:type="dxa"/>
            <w:vAlign w:val="center"/>
          </w:tcPr>
          <w:p w:rsidR="006A7CA1" w:rsidRPr="003529B9" w:rsidRDefault="006A7CA1" w:rsidP="005804A2">
            <w:pPr>
              <w:pStyle w:val="BodyText"/>
              <w:spacing w:after="0"/>
              <w:rPr>
                <w:rFonts w:ascii="Arial" w:hAnsi="Arial" w:cs="Arial"/>
                <w:b/>
                <w:bCs/>
                <w:szCs w:val="22"/>
              </w:rPr>
            </w:pPr>
            <w:r w:rsidRPr="003529B9">
              <w:rPr>
                <w:rFonts w:ascii="Arial" w:hAnsi="Arial" w:cs="Arial"/>
                <w:b/>
                <w:bCs/>
                <w:szCs w:val="22"/>
              </w:rPr>
              <w:t>Limits on variable interest rates based on net debt</w:t>
            </w:r>
          </w:p>
        </w:tc>
        <w:tc>
          <w:tcPr>
            <w:tcW w:w="1827" w:type="dxa"/>
            <w:vAlign w:val="center"/>
          </w:tcPr>
          <w:p w:rsidR="006A7CA1" w:rsidRPr="003529B9" w:rsidRDefault="006A7CA1" w:rsidP="005804A2">
            <w:pPr>
              <w:pStyle w:val="BodyText"/>
              <w:spacing w:after="0"/>
              <w:jc w:val="center"/>
              <w:rPr>
                <w:rFonts w:ascii="Arial" w:hAnsi="Arial" w:cs="Arial"/>
                <w:szCs w:val="22"/>
              </w:rPr>
            </w:pPr>
            <w:r w:rsidRPr="003529B9">
              <w:rPr>
                <w:rFonts w:ascii="Arial" w:hAnsi="Arial" w:cs="Arial"/>
                <w:szCs w:val="22"/>
              </w:rPr>
              <w:t>40%</w:t>
            </w:r>
          </w:p>
        </w:tc>
        <w:tc>
          <w:tcPr>
            <w:tcW w:w="1953" w:type="dxa"/>
            <w:vAlign w:val="center"/>
          </w:tcPr>
          <w:p w:rsidR="006A7CA1" w:rsidRPr="003529B9" w:rsidRDefault="006A7CA1" w:rsidP="005804A2">
            <w:pPr>
              <w:pStyle w:val="BodyText"/>
              <w:spacing w:after="0"/>
              <w:jc w:val="center"/>
              <w:rPr>
                <w:rFonts w:ascii="Arial" w:hAnsi="Arial" w:cs="Arial"/>
                <w:szCs w:val="22"/>
              </w:rPr>
            </w:pPr>
            <w:r w:rsidRPr="003529B9">
              <w:rPr>
                <w:rFonts w:ascii="Arial" w:hAnsi="Arial" w:cs="Arial"/>
                <w:szCs w:val="22"/>
              </w:rPr>
              <w:t>40%</w:t>
            </w:r>
          </w:p>
        </w:tc>
        <w:tc>
          <w:tcPr>
            <w:tcW w:w="1732" w:type="dxa"/>
            <w:vAlign w:val="center"/>
          </w:tcPr>
          <w:p w:rsidR="006A7CA1" w:rsidRPr="003529B9" w:rsidRDefault="006A7CA1" w:rsidP="005804A2">
            <w:pPr>
              <w:pStyle w:val="BodyText"/>
              <w:spacing w:after="0"/>
              <w:jc w:val="center"/>
              <w:rPr>
                <w:rFonts w:ascii="Arial" w:hAnsi="Arial" w:cs="Arial"/>
                <w:szCs w:val="22"/>
              </w:rPr>
            </w:pPr>
            <w:r w:rsidRPr="003529B9">
              <w:rPr>
                <w:rFonts w:ascii="Arial" w:hAnsi="Arial" w:cs="Arial"/>
                <w:szCs w:val="22"/>
              </w:rPr>
              <w:t>40%</w:t>
            </w:r>
          </w:p>
        </w:tc>
      </w:tr>
      <w:tr w:rsidR="006A7CA1" w:rsidRPr="00042442" w:rsidTr="008E582B">
        <w:trPr>
          <w:cantSplit/>
        </w:trPr>
        <w:tc>
          <w:tcPr>
            <w:tcW w:w="8500" w:type="dxa"/>
            <w:gridSpan w:val="4"/>
            <w:shd w:val="clear" w:color="auto" w:fill="D9D9D9"/>
          </w:tcPr>
          <w:p w:rsidR="006A7CA1" w:rsidRPr="003529B9" w:rsidRDefault="006A7CA1" w:rsidP="008E582B">
            <w:pPr>
              <w:pStyle w:val="BodyText"/>
              <w:spacing w:after="0"/>
              <w:rPr>
                <w:rFonts w:ascii="Arial" w:hAnsi="Arial" w:cs="Arial"/>
                <w:b/>
                <w:bCs/>
                <w:szCs w:val="22"/>
              </w:rPr>
            </w:pPr>
            <w:r w:rsidRPr="003529B9">
              <w:rPr>
                <w:rFonts w:ascii="Arial" w:hAnsi="Arial" w:cs="Arial"/>
                <w:b/>
                <w:bCs/>
                <w:szCs w:val="22"/>
              </w:rPr>
              <w:t>Maturity Structure of fixed interest rate borrowing 201</w:t>
            </w:r>
            <w:r w:rsidR="008E582B" w:rsidRPr="003529B9">
              <w:rPr>
                <w:rFonts w:ascii="Arial" w:hAnsi="Arial" w:cs="Arial"/>
                <w:b/>
                <w:bCs/>
                <w:szCs w:val="22"/>
              </w:rPr>
              <w:t>9</w:t>
            </w:r>
            <w:r w:rsidR="00F45AC7" w:rsidRPr="003529B9">
              <w:rPr>
                <w:rFonts w:ascii="Arial" w:hAnsi="Arial" w:cs="Arial"/>
                <w:b/>
                <w:bCs/>
                <w:szCs w:val="22"/>
              </w:rPr>
              <w:t>/</w:t>
            </w:r>
            <w:r w:rsidR="008E582B" w:rsidRPr="003529B9">
              <w:rPr>
                <w:rFonts w:ascii="Arial" w:hAnsi="Arial" w:cs="Arial"/>
                <w:b/>
                <w:bCs/>
                <w:szCs w:val="22"/>
              </w:rPr>
              <w:t>20</w:t>
            </w:r>
          </w:p>
        </w:tc>
      </w:tr>
      <w:tr w:rsidR="006A7CA1" w:rsidRPr="00042442" w:rsidTr="008E582B">
        <w:trPr>
          <w:cantSplit/>
        </w:trPr>
        <w:tc>
          <w:tcPr>
            <w:tcW w:w="4815" w:type="dxa"/>
            <w:gridSpan w:val="2"/>
          </w:tcPr>
          <w:p w:rsidR="006A7CA1" w:rsidRPr="003529B9" w:rsidRDefault="006A7CA1" w:rsidP="005804A2">
            <w:pPr>
              <w:pStyle w:val="BodyText"/>
              <w:spacing w:after="0"/>
              <w:rPr>
                <w:rFonts w:ascii="Arial" w:hAnsi="Arial" w:cs="Arial"/>
                <w:b/>
                <w:bCs/>
                <w:szCs w:val="22"/>
              </w:rPr>
            </w:pPr>
          </w:p>
        </w:tc>
        <w:tc>
          <w:tcPr>
            <w:tcW w:w="1953" w:type="dxa"/>
          </w:tcPr>
          <w:p w:rsidR="006A7CA1" w:rsidRPr="003529B9" w:rsidRDefault="006A7CA1" w:rsidP="005804A2">
            <w:pPr>
              <w:pStyle w:val="BodyText"/>
              <w:spacing w:after="0"/>
              <w:jc w:val="center"/>
              <w:rPr>
                <w:rFonts w:ascii="Arial" w:hAnsi="Arial" w:cs="Arial"/>
                <w:b/>
                <w:bCs/>
                <w:szCs w:val="22"/>
              </w:rPr>
            </w:pPr>
            <w:r w:rsidRPr="003529B9">
              <w:rPr>
                <w:rFonts w:ascii="Arial" w:hAnsi="Arial" w:cs="Arial"/>
                <w:b/>
                <w:bCs/>
                <w:szCs w:val="22"/>
              </w:rPr>
              <w:t>Lower</w:t>
            </w:r>
          </w:p>
        </w:tc>
        <w:tc>
          <w:tcPr>
            <w:tcW w:w="1732" w:type="dxa"/>
          </w:tcPr>
          <w:p w:rsidR="006A7CA1" w:rsidRPr="003529B9" w:rsidRDefault="006A7CA1" w:rsidP="005804A2">
            <w:pPr>
              <w:pStyle w:val="BodyText"/>
              <w:spacing w:after="0"/>
              <w:jc w:val="center"/>
              <w:rPr>
                <w:rFonts w:ascii="Arial" w:hAnsi="Arial" w:cs="Arial"/>
                <w:b/>
                <w:bCs/>
                <w:szCs w:val="22"/>
              </w:rPr>
            </w:pPr>
            <w:r w:rsidRPr="003529B9">
              <w:rPr>
                <w:rFonts w:ascii="Arial" w:hAnsi="Arial" w:cs="Arial"/>
                <w:b/>
                <w:bCs/>
                <w:szCs w:val="22"/>
              </w:rPr>
              <w:t>Upper</w:t>
            </w:r>
          </w:p>
        </w:tc>
      </w:tr>
      <w:tr w:rsidR="006A7CA1" w:rsidRPr="00042442" w:rsidTr="008E582B">
        <w:trPr>
          <w:cantSplit/>
          <w:trHeight w:val="331"/>
        </w:trPr>
        <w:tc>
          <w:tcPr>
            <w:tcW w:w="4815" w:type="dxa"/>
            <w:gridSpan w:val="2"/>
          </w:tcPr>
          <w:p w:rsidR="006A7CA1" w:rsidRPr="003529B9" w:rsidRDefault="006A7CA1" w:rsidP="005804A2">
            <w:pPr>
              <w:pStyle w:val="BodyText"/>
              <w:spacing w:after="0"/>
              <w:rPr>
                <w:rFonts w:ascii="Arial" w:hAnsi="Arial" w:cs="Arial"/>
                <w:szCs w:val="22"/>
              </w:rPr>
            </w:pPr>
            <w:r w:rsidRPr="003529B9">
              <w:rPr>
                <w:rFonts w:ascii="Arial" w:hAnsi="Arial" w:cs="Arial"/>
                <w:szCs w:val="22"/>
              </w:rPr>
              <w:t>Under 12 months</w:t>
            </w:r>
          </w:p>
        </w:tc>
        <w:tc>
          <w:tcPr>
            <w:tcW w:w="1953" w:type="dxa"/>
          </w:tcPr>
          <w:p w:rsidR="006A7CA1" w:rsidRPr="003529B9" w:rsidRDefault="006A7CA1" w:rsidP="005804A2">
            <w:pPr>
              <w:pStyle w:val="BodyText"/>
              <w:spacing w:after="0"/>
              <w:jc w:val="center"/>
              <w:rPr>
                <w:rFonts w:ascii="Arial" w:hAnsi="Arial" w:cs="Arial"/>
                <w:szCs w:val="22"/>
              </w:rPr>
            </w:pPr>
            <w:r w:rsidRPr="003529B9">
              <w:rPr>
                <w:rFonts w:ascii="Arial" w:hAnsi="Arial" w:cs="Arial"/>
                <w:szCs w:val="22"/>
              </w:rPr>
              <w:t>0%</w:t>
            </w:r>
          </w:p>
        </w:tc>
        <w:tc>
          <w:tcPr>
            <w:tcW w:w="1732" w:type="dxa"/>
          </w:tcPr>
          <w:p w:rsidR="006A7CA1" w:rsidRPr="003529B9" w:rsidRDefault="00C16197" w:rsidP="00C16197">
            <w:pPr>
              <w:pStyle w:val="BodyText"/>
              <w:spacing w:after="0"/>
              <w:jc w:val="center"/>
              <w:rPr>
                <w:rFonts w:ascii="Arial" w:hAnsi="Arial" w:cs="Arial"/>
                <w:szCs w:val="22"/>
              </w:rPr>
            </w:pPr>
            <w:r>
              <w:rPr>
                <w:rFonts w:ascii="Arial" w:hAnsi="Arial" w:cs="Arial"/>
                <w:szCs w:val="22"/>
              </w:rPr>
              <w:t>4</w:t>
            </w:r>
            <w:r w:rsidR="003529B9" w:rsidRPr="003529B9">
              <w:rPr>
                <w:rFonts w:ascii="Arial" w:hAnsi="Arial" w:cs="Arial"/>
                <w:szCs w:val="22"/>
              </w:rPr>
              <w:t>0</w:t>
            </w:r>
            <w:r w:rsidR="006A7CA1" w:rsidRPr="003529B9">
              <w:rPr>
                <w:rFonts w:ascii="Arial" w:hAnsi="Arial" w:cs="Arial"/>
                <w:szCs w:val="22"/>
              </w:rPr>
              <w:t>%</w:t>
            </w:r>
          </w:p>
        </w:tc>
      </w:tr>
      <w:tr w:rsidR="006A7CA1" w:rsidRPr="00042442" w:rsidTr="008E582B">
        <w:trPr>
          <w:cantSplit/>
        </w:trPr>
        <w:tc>
          <w:tcPr>
            <w:tcW w:w="4815" w:type="dxa"/>
            <w:gridSpan w:val="2"/>
          </w:tcPr>
          <w:p w:rsidR="006A7CA1" w:rsidRPr="003529B9" w:rsidRDefault="006A7CA1" w:rsidP="005804A2">
            <w:pPr>
              <w:pStyle w:val="BodyText"/>
              <w:spacing w:after="0"/>
              <w:rPr>
                <w:rFonts w:ascii="Arial" w:hAnsi="Arial" w:cs="Arial"/>
                <w:szCs w:val="22"/>
              </w:rPr>
            </w:pPr>
            <w:r w:rsidRPr="003529B9">
              <w:rPr>
                <w:rFonts w:ascii="Arial" w:hAnsi="Arial" w:cs="Arial"/>
                <w:szCs w:val="22"/>
              </w:rPr>
              <w:t>12 months to 2 years</w:t>
            </w:r>
          </w:p>
        </w:tc>
        <w:tc>
          <w:tcPr>
            <w:tcW w:w="1953" w:type="dxa"/>
          </w:tcPr>
          <w:p w:rsidR="006A7CA1" w:rsidRPr="003529B9" w:rsidRDefault="006A7CA1" w:rsidP="005804A2">
            <w:pPr>
              <w:pStyle w:val="BodyText"/>
              <w:spacing w:after="0"/>
              <w:jc w:val="center"/>
              <w:rPr>
                <w:rFonts w:ascii="Arial" w:hAnsi="Arial" w:cs="Arial"/>
                <w:szCs w:val="22"/>
              </w:rPr>
            </w:pPr>
            <w:r w:rsidRPr="003529B9">
              <w:rPr>
                <w:rFonts w:ascii="Arial" w:hAnsi="Arial" w:cs="Arial"/>
                <w:szCs w:val="22"/>
              </w:rPr>
              <w:t>0%</w:t>
            </w:r>
          </w:p>
        </w:tc>
        <w:tc>
          <w:tcPr>
            <w:tcW w:w="1732" w:type="dxa"/>
          </w:tcPr>
          <w:p w:rsidR="006A7CA1" w:rsidRPr="003529B9" w:rsidRDefault="00C16197" w:rsidP="00C16197">
            <w:pPr>
              <w:pStyle w:val="BodyText"/>
              <w:spacing w:after="0"/>
              <w:jc w:val="center"/>
              <w:rPr>
                <w:rFonts w:ascii="Arial" w:hAnsi="Arial" w:cs="Arial"/>
                <w:szCs w:val="22"/>
              </w:rPr>
            </w:pPr>
            <w:r>
              <w:rPr>
                <w:rFonts w:ascii="Arial" w:hAnsi="Arial" w:cs="Arial"/>
                <w:szCs w:val="22"/>
              </w:rPr>
              <w:t>5</w:t>
            </w:r>
            <w:r w:rsidR="006A7CA1" w:rsidRPr="003529B9">
              <w:rPr>
                <w:rFonts w:ascii="Arial" w:hAnsi="Arial" w:cs="Arial"/>
                <w:szCs w:val="22"/>
              </w:rPr>
              <w:t>0%</w:t>
            </w:r>
          </w:p>
        </w:tc>
      </w:tr>
      <w:tr w:rsidR="006A7CA1" w:rsidRPr="00042442" w:rsidTr="008E582B">
        <w:trPr>
          <w:cantSplit/>
        </w:trPr>
        <w:tc>
          <w:tcPr>
            <w:tcW w:w="4815" w:type="dxa"/>
            <w:gridSpan w:val="2"/>
          </w:tcPr>
          <w:p w:rsidR="006A7CA1" w:rsidRPr="003529B9" w:rsidRDefault="006A7CA1" w:rsidP="005804A2">
            <w:pPr>
              <w:pStyle w:val="BodyText"/>
              <w:spacing w:after="0"/>
              <w:rPr>
                <w:rFonts w:ascii="Arial" w:hAnsi="Arial" w:cs="Arial"/>
                <w:szCs w:val="22"/>
              </w:rPr>
            </w:pPr>
            <w:r w:rsidRPr="003529B9">
              <w:rPr>
                <w:rFonts w:ascii="Arial" w:hAnsi="Arial" w:cs="Arial"/>
                <w:szCs w:val="22"/>
              </w:rPr>
              <w:t>2 years to 5 years</w:t>
            </w:r>
          </w:p>
        </w:tc>
        <w:tc>
          <w:tcPr>
            <w:tcW w:w="1953" w:type="dxa"/>
          </w:tcPr>
          <w:p w:rsidR="006A7CA1" w:rsidRPr="003529B9" w:rsidRDefault="006A7CA1" w:rsidP="005804A2">
            <w:pPr>
              <w:pStyle w:val="BodyText"/>
              <w:spacing w:after="0"/>
              <w:jc w:val="center"/>
              <w:rPr>
                <w:rFonts w:ascii="Arial" w:hAnsi="Arial" w:cs="Arial"/>
                <w:szCs w:val="22"/>
              </w:rPr>
            </w:pPr>
            <w:r w:rsidRPr="003529B9">
              <w:rPr>
                <w:rFonts w:ascii="Arial" w:hAnsi="Arial" w:cs="Arial"/>
                <w:szCs w:val="22"/>
              </w:rPr>
              <w:t>0%</w:t>
            </w:r>
          </w:p>
        </w:tc>
        <w:tc>
          <w:tcPr>
            <w:tcW w:w="1732" w:type="dxa"/>
          </w:tcPr>
          <w:p w:rsidR="006A7CA1" w:rsidRPr="003529B9" w:rsidRDefault="006A7CA1" w:rsidP="005804A2">
            <w:pPr>
              <w:pStyle w:val="BodyText"/>
              <w:spacing w:after="0"/>
              <w:jc w:val="center"/>
              <w:rPr>
                <w:rFonts w:ascii="Arial" w:hAnsi="Arial" w:cs="Arial"/>
                <w:szCs w:val="22"/>
              </w:rPr>
            </w:pPr>
            <w:r w:rsidRPr="003529B9">
              <w:rPr>
                <w:rFonts w:ascii="Arial" w:hAnsi="Arial" w:cs="Arial"/>
                <w:szCs w:val="22"/>
              </w:rPr>
              <w:t>60%</w:t>
            </w:r>
          </w:p>
        </w:tc>
      </w:tr>
      <w:tr w:rsidR="006A7CA1" w:rsidRPr="00042442" w:rsidTr="008E582B">
        <w:trPr>
          <w:cantSplit/>
        </w:trPr>
        <w:tc>
          <w:tcPr>
            <w:tcW w:w="4815" w:type="dxa"/>
            <w:gridSpan w:val="2"/>
          </w:tcPr>
          <w:p w:rsidR="006A7CA1" w:rsidRPr="003529B9" w:rsidRDefault="006A7CA1" w:rsidP="005804A2">
            <w:pPr>
              <w:pStyle w:val="BodyText"/>
              <w:spacing w:after="0"/>
              <w:rPr>
                <w:rFonts w:ascii="Arial" w:hAnsi="Arial" w:cs="Arial"/>
                <w:szCs w:val="22"/>
              </w:rPr>
            </w:pPr>
            <w:r w:rsidRPr="003529B9">
              <w:rPr>
                <w:rFonts w:ascii="Arial" w:hAnsi="Arial" w:cs="Arial"/>
                <w:szCs w:val="22"/>
              </w:rPr>
              <w:t>5 years to 10 years</w:t>
            </w:r>
          </w:p>
        </w:tc>
        <w:tc>
          <w:tcPr>
            <w:tcW w:w="1953" w:type="dxa"/>
          </w:tcPr>
          <w:p w:rsidR="006A7CA1" w:rsidRPr="003529B9" w:rsidRDefault="006A7CA1" w:rsidP="005804A2">
            <w:pPr>
              <w:pStyle w:val="BodyText"/>
              <w:spacing w:after="0"/>
              <w:jc w:val="center"/>
              <w:rPr>
                <w:rFonts w:ascii="Arial" w:hAnsi="Arial" w:cs="Arial"/>
                <w:szCs w:val="22"/>
              </w:rPr>
            </w:pPr>
            <w:r w:rsidRPr="003529B9">
              <w:rPr>
                <w:rFonts w:ascii="Arial" w:hAnsi="Arial" w:cs="Arial"/>
                <w:szCs w:val="22"/>
              </w:rPr>
              <w:t>0%</w:t>
            </w:r>
          </w:p>
        </w:tc>
        <w:tc>
          <w:tcPr>
            <w:tcW w:w="1732" w:type="dxa"/>
          </w:tcPr>
          <w:p w:rsidR="006A7CA1" w:rsidRPr="003529B9" w:rsidRDefault="006A7CA1" w:rsidP="005804A2">
            <w:pPr>
              <w:pStyle w:val="BodyText"/>
              <w:spacing w:after="0"/>
              <w:jc w:val="center"/>
              <w:rPr>
                <w:rFonts w:ascii="Arial" w:hAnsi="Arial" w:cs="Arial"/>
                <w:szCs w:val="22"/>
              </w:rPr>
            </w:pPr>
            <w:r w:rsidRPr="003529B9">
              <w:rPr>
                <w:rFonts w:ascii="Arial" w:hAnsi="Arial" w:cs="Arial"/>
                <w:szCs w:val="22"/>
              </w:rPr>
              <w:t>80%</w:t>
            </w:r>
          </w:p>
        </w:tc>
      </w:tr>
      <w:tr w:rsidR="006A7CA1" w:rsidRPr="00042442" w:rsidTr="008E582B">
        <w:trPr>
          <w:cantSplit/>
        </w:trPr>
        <w:tc>
          <w:tcPr>
            <w:tcW w:w="4815" w:type="dxa"/>
            <w:gridSpan w:val="2"/>
          </w:tcPr>
          <w:p w:rsidR="006A7CA1" w:rsidRPr="003529B9" w:rsidRDefault="006A7CA1" w:rsidP="005804A2">
            <w:pPr>
              <w:pStyle w:val="BodyText"/>
              <w:spacing w:after="0"/>
              <w:rPr>
                <w:rFonts w:ascii="Arial" w:hAnsi="Arial" w:cs="Arial"/>
                <w:szCs w:val="22"/>
              </w:rPr>
            </w:pPr>
            <w:r w:rsidRPr="003529B9">
              <w:rPr>
                <w:rFonts w:ascii="Arial" w:hAnsi="Arial" w:cs="Arial"/>
                <w:szCs w:val="22"/>
              </w:rPr>
              <w:t>10 years and above</w:t>
            </w:r>
          </w:p>
        </w:tc>
        <w:tc>
          <w:tcPr>
            <w:tcW w:w="1953" w:type="dxa"/>
          </w:tcPr>
          <w:p w:rsidR="006A7CA1" w:rsidRPr="003529B9" w:rsidRDefault="006A7CA1" w:rsidP="005804A2">
            <w:pPr>
              <w:pStyle w:val="BodyText"/>
              <w:spacing w:after="0"/>
              <w:jc w:val="center"/>
              <w:rPr>
                <w:rFonts w:ascii="Arial" w:hAnsi="Arial" w:cs="Arial"/>
                <w:szCs w:val="22"/>
              </w:rPr>
            </w:pPr>
            <w:r w:rsidRPr="003529B9">
              <w:rPr>
                <w:rFonts w:ascii="Arial" w:hAnsi="Arial" w:cs="Arial"/>
                <w:szCs w:val="22"/>
              </w:rPr>
              <w:t>0%</w:t>
            </w:r>
          </w:p>
        </w:tc>
        <w:tc>
          <w:tcPr>
            <w:tcW w:w="1732" w:type="dxa"/>
          </w:tcPr>
          <w:p w:rsidR="006A7CA1" w:rsidRPr="003529B9" w:rsidRDefault="006A7CA1" w:rsidP="005804A2">
            <w:pPr>
              <w:pStyle w:val="BodyText"/>
              <w:spacing w:after="0"/>
              <w:jc w:val="center"/>
              <w:rPr>
                <w:rFonts w:ascii="Arial" w:hAnsi="Arial" w:cs="Arial"/>
                <w:szCs w:val="22"/>
              </w:rPr>
            </w:pPr>
            <w:r w:rsidRPr="003529B9">
              <w:rPr>
                <w:rFonts w:ascii="Arial" w:hAnsi="Arial" w:cs="Arial"/>
                <w:szCs w:val="22"/>
              </w:rPr>
              <w:t>100%</w:t>
            </w:r>
          </w:p>
        </w:tc>
      </w:tr>
    </w:tbl>
    <w:p w:rsidR="006A7CA1" w:rsidRPr="00042442" w:rsidRDefault="006A7CA1" w:rsidP="005804A2">
      <w:pPr>
        <w:pStyle w:val="BodyText2"/>
        <w:rPr>
          <w:rFonts w:cs="Arial"/>
          <w:b/>
          <w:noProof/>
          <w:color w:val="auto"/>
          <w:sz w:val="24"/>
          <w:szCs w:val="36"/>
        </w:rPr>
      </w:pPr>
    </w:p>
    <w:p w:rsidR="006A7CA1" w:rsidRDefault="006A7CA1" w:rsidP="005804A2">
      <w:pPr>
        <w:pStyle w:val="BodyText2"/>
        <w:rPr>
          <w:rFonts w:cs="Arial"/>
          <w:b/>
          <w:noProof/>
          <w:color w:val="auto"/>
          <w:sz w:val="24"/>
          <w:szCs w:val="36"/>
        </w:rPr>
      </w:pPr>
      <w:r w:rsidRPr="00042442">
        <w:rPr>
          <w:rFonts w:cs="Arial"/>
          <w:b/>
          <w:noProof/>
          <w:color w:val="auto"/>
          <w:sz w:val="24"/>
          <w:szCs w:val="36"/>
        </w:rPr>
        <w:t>Policy on Borrowing in Adva</w:t>
      </w:r>
      <w:r w:rsidRPr="006A7CA1">
        <w:rPr>
          <w:rFonts w:cs="Arial"/>
          <w:b/>
          <w:noProof/>
          <w:color w:val="auto"/>
          <w:sz w:val="24"/>
          <w:szCs w:val="36"/>
        </w:rPr>
        <w:t xml:space="preserve">nce of Need </w:t>
      </w:r>
    </w:p>
    <w:p w:rsidR="00B6154C" w:rsidRPr="006A7CA1" w:rsidRDefault="00B6154C" w:rsidP="005804A2">
      <w:pPr>
        <w:pStyle w:val="BodyText2"/>
        <w:rPr>
          <w:rFonts w:cs="Arial"/>
          <w:b/>
          <w:noProof/>
          <w:color w:val="auto"/>
          <w:sz w:val="24"/>
          <w:szCs w:val="36"/>
        </w:rPr>
      </w:pPr>
    </w:p>
    <w:p w:rsidR="006A7CA1" w:rsidRDefault="006A7CA1" w:rsidP="005804A2">
      <w:pPr>
        <w:numPr>
          <w:ilvl w:val="0"/>
          <w:numId w:val="1"/>
        </w:numPr>
        <w:rPr>
          <w:rFonts w:ascii="Arial" w:hAnsi="Arial" w:cs="Arial"/>
          <w:noProof/>
          <w:szCs w:val="24"/>
        </w:rPr>
      </w:pPr>
      <w:r w:rsidRPr="0044378C">
        <w:rPr>
          <w:rFonts w:ascii="Arial" w:hAnsi="Arial" w:cs="Arial"/>
          <w:noProof/>
          <w:szCs w:val="24"/>
        </w:rPr>
        <w:t>The C</w:t>
      </w:r>
      <w:r w:rsidR="00426BA1">
        <w:rPr>
          <w:rFonts w:ascii="Arial" w:hAnsi="Arial" w:cs="Arial"/>
          <w:noProof/>
          <w:szCs w:val="24"/>
        </w:rPr>
        <w:t xml:space="preserve">FR Determines the Council’s need to borrow.  </w:t>
      </w:r>
      <w:r w:rsidRPr="0044378C">
        <w:rPr>
          <w:rFonts w:ascii="Arial" w:hAnsi="Arial" w:cs="Arial"/>
          <w:noProof/>
          <w:szCs w:val="24"/>
        </w:rPr>
        <w:t xml:space="preserve">Any decision to borrow in advance </w:t>
      </w:r>
      <w:r w:rsidR="00426BA1">
        <w:rPr>
          <w:rFonts w:ascii="Arial" w:hAnsi="Arial" w:cs="Arial"/>
          <w:noProof/>
          <w:szCs w:val="24"/>
        </w:rPr>
        <w:t xml:space="preserve"> of need </w:t>
      </w:r>
      <w:r w:rsidRPr="0044378C">
        <w:rPr>
          <w:rFonts w:ascii="Arial" w:hAnsi="Arial" w:cs="Arial"/>
          <w:noProof/>
          <w:szCs w:val="24"/>
        </w:rPr>
        <w:t>will be within forward approved Capital Financing Requirement estimates, and will be considered carefully to ensure that value for money can be demonstrated and that the Council can en</w:t>
      </w:r>
      <w:r w:rsidR="000715F4" w:rsidRPr="0044378C">
        <w:rPr>
          <w:rFonts w:ascii="Arial" w:hAnsi="Arial" w:cs="Arial"/>
          <w:noProof/>
          <w:szCs w:val="24"/>
        </w:rPr>
        <w:t>sure the security of such funds through its investment strategy.</w:t>
      </w:r>
      <w:r w:rsidRPr="0044378C">
        <w:rPr>
          <w:rFonts w:ascii="Arial" w:hAnsi="Arial" w:cs="Arial"/>
          <w:noProof/>
          <w:szCs w:val="24"/>
        </w:rPr>
        <w:t xml:space="preserve"> </w:t>
      </w:r>
    </w:p>
    <w:p w:rsidR="0027130F" w:rsidRDefault="0027130F" w:rsidP="0027130F">
      <w:pPr>
        <w:ind w:left="567"/>
        <w:rPr>
          <w:rFonts w:ascii="Arial" w:hAnsi="Arial" w:cs="Arial"/>
          <w:noProof/>
          <w:szCs w:val="24"/>
        </w:rPr>
      </w:pPr>
    </w:p>
    <w:p w:rsidR="0027130F" w:rsidRPr="0044378C" w:rsidRDefault="0027130F" w:rsidP="0027130F">
      <w:pPr>
        <w:numPr>
          <w:ilvl w:val="0"/>
          <w:numId w:val="1"/>
        </w:numPr>
        <w:rPr>
          <w:rFonts w:ascii="Arial" w:hAnsi="Arial" w:cs="Arial"/>
          <w:noProof/>
          <w:szCs w:val="24"/>
        </w:rPr>
      </w:pPr>
      <w:r w:rsidRPr="0027130F">
        <w:rPr>
          <w:rFonts w:ascii="Arial" w:hAnsi="Arial" w:cs="Arial"/>
          <w:noProof/>
          <w:szCs w:val="24"/>
        </w:rPr>
        <w:t>Risks associated with any borrowing in advance activity will be subject to prior appraisal and subsequent reporting through the mid-year or annual reporting mechanism</w:t>
      </w:r>
      <w:r>
        <w:rPr>
          <w:rFonts w:ascii="Arial" w:hAnsi="Arial" w:cs="Arial"/>
          <w:noProof/>
          <w:szCs w:val="24"/>
        </w:rPr>
        <w:t>.</w:t>
      </w:r>
    </w:p>
    <w:p w:rsidR="006A7CA1" w:rsidRPr="006A7CA1" w:rsidRDefault="006A7CA1" w:rsidP="005804A2">
      <w:pPr>
        <w:jc w:val="both"/>
        <w:rPr>
          <w:rFonts w:ascii="Arial" w:hAnsi="Arial" w:cs="Arial"/>
          <w:noProof/>
          <w:szCs w:val="24"/>
        </w:rPr>
      </w:pPr>
    </w:p>
    <w:p w:rsidR="006A7CA1" w:rsidRDefault="006A7CA1" w:rsidP="005804A2">
      <w:pPr>
        <w:pStyle w:val="BodyText2"/>
        <w:rPr>
          <w:rFonts w:cs="Arial"/>
          <w:b/>
          <w:bCs/>
          <w:noProof/>
          <w:color w:val="auto"/>
          <w:sz w:val="24"/>
        </w:rPr>
      </w:pPr>
      <w:r w:rsidRPr="006A7CA1">
        <w:rPr>
          <w:rFonts w:cs="Arial"/>
          <w:b/>
          <w:bCs/>
          <w:noProof/>
          <w:color w:val="auto"/>
          <w:sz w:val="24"/>
        </w:rPr>
        <w:t>Debt Rescheduling</w:t>
      </w:r>
    </w:p>
    <w:p w:rsidR="00B6154C" w:rsidRPr="006A7CA1" w:rsidRDefault="00B6154C" w:rsidP="005804A2">
      <w:pPr>
        <w:pStyle w:val="BodyText2"/>
        <w:rPr>
          <w:rFonts w:cs="Arial"/>
          <w:b/>
          <w:bCs/>
          <w:noProof/>
          <w:color w:val="auto"/>
          <w:sz w:val="24"/>
        </w:rPr>
      </w:pPr>
    </w:p>
    <w:p w:rsidR="006A7CA1" w:rsidRPr="006A7CA1" w:rsidRDefault="006A7CA1" w:rsidP="005804A2">
      <w:pPr>
        <w:numPr>
          <w:ilvl w:val="0"/>
          <w:numId w:val="1"/>
        </w:numPr>
        <w:rPr>
          <w:rFonts w:ascii="Arial" w:hAnsi="Arial" w:cs="Arial"/>
          <w:bCs/>
          <w:noProof/>
          <w:szCs w:val="24"/>
        </w:rPr>
      </w:pPr>
      <w:r w:rsidRPr="006A7CA1">
        <w:rPr>
          <w:rFonts w:ascii="Arial" w:hAnsi="Arial" w:cs="Arial"/>
          <w:noProof/>
          <w:szCs w:val="24"/>
        </w:rPr>
        <w:t>As short</w:t>
      </w:r>
      <w:r w:rsidR="00474AE1">
        <w:rPr>
          <w:rFonts w:ascii="Arial" w:hAnsi="Arial" w:cs="Arial"/>
          <w:noProof/>
          <w:szCs w:val="24"/>
        </w:rPr>
        <w:t>-</w:t>
      </w:r>
      <w:r w:rsidRPr="006A7CA1">
        <w:rPr>
          <w:rFonts w:ascii="Arial" w:hAnsi="Arial" w:cs="Arial"/>
          <w:noProof/>
          <w:szCs w:val="24"/>
        </w:rPr>
        <w:t>term borrowing rates will be considerably cheaper than longer term fixed interest rates, there may be potential opportunities to generate savings by switching from long</w:t>
      </w:r>
      <w:r w:rsidR="00FC27A2">
        <w:rPr>
          <w:rFonts w:ascii="Arial" w:hAnsi="Arial" w:cs="Arial"/>
          <w:noProof/>
          <w:szCs w:val="24"/>
        </w:rPr>
        <w:t>-</w:t>
      </w:r>
      <w:r w:rsidRPr="006A7CA1">
        <w:rPr>
          <w:rFonts w:ascii="Arial" w:hAnsi="Arial" w:cs="Arial"/>
          <w:noProof/>
          <w:szCs w:val="24"/>
        </w:rPr>
        <w:t>term debt to short</w:t>
      </w:r>
      <w:r w:rsidR="00FC27A2">
        <w:rPr>
          <w:rFonts w:ascii="Arial" w:hAnsi="Arial" w:cs="Arial"/>
          <w:noProof/>
          <w:szCs w:val="24"/>
        </w:rPr>
        <w:t>-</w:t>
      </w:r>
      <w:r w:rsidRPr="006A7CA1">
        <w:rPr>
          <w:rFonts w:ascii="Arial" w:hAnsi="Arial" w:cs="Arial"/>
          <w:noProof/>
          <w:szCs w:val="24"/>
        </w:rPr>
        <w:t>term debt.  However, these savings will need to be considered in the light of the current treasury position and the size of the cost of debt repayment (premiums incurred).</w:t>
      </w:r>
      <w:r w:rsidRPr="006A7CA1">
        <w:rPr>
          <w:rFonts w:ascii="Arial" w:hAnsi="Arial" w:cs="Arial"/>
          <w:bCs/>
          <w:noProof/>
          <w:szCs w:val="24"/>
        </w:rPr>
        <w:t xml:space="preserve"> </w:t>
      </w:r>
    </w:p>
    <w:p w:rsidR="006A7CA1" w:rsidRPr="006A7CA1" w:rsidRDefault="006A7CA1" w:rsidP="005804A2">
      <w:pPr>
        <w:numPr>
          <w:ilvl w:val="12"/>
          <w:numId w:val="0"/>
        </w:numPr>
        <w:jc w:val="both"/>
        <w:rPr>
          <w:rFonts w:ascii="Arial" w:hAnsi="Arial" w:cs="Arial"/>
          <w:noProof/>
          <w:szCs w:val="24"/>
        </w:rPr>
      </w:pPr>
    </w:p>
    <w:p w:rsidR="006A7CA1" w:rsidRDefault="006A7CA1" w:rsidP="005804A2">
      <w:pPr>
        <w:numPr>
          <w:ilvl w:val="0"/>
          <w:numId w:val="1"/>
        </w:numPr>
        <w:rPr>
          <w:rFonts w:ascii="Arial" w:hAnsi="Arial" w:cs="Arial"/>
          <w:noProof/>
          <w:szCs w:val="24"/>
        </w:rPr>
      </w:pPr>
      <w:r w:rsidRPr="006A7CA1">
        <w:rPr>
          <w:rFonts w:ascii="Arial" w:hAnsi="Arial" w:cs="Arial"/>
          <w:noProof/>
          <w:szCs w:val="24"/>
        </w:rPr>
        <w:t xml:space="preserve">The reasons for any rescheduling to take place will include: </w:t>
      </w:r>
      <w:r w:rsidR="00B6154C">
        <w:rPr>
          <w:rFonts w:ascii="Arial" w:hAnsi="Arial" w:cs="Arial"/>
          <w:noProof/>
          <w:szCs w:val="24"/>
        </w:rPr>
        <w:br/>
      </w:r>
    </w:p>
    <w:p w:rsidR="006A7CA1" w:rsidRPr="00B6154C" w:rsidRDefault="006A7CA1" w:rsidP="00B6154C">
      <w:pPr>
        <w:numPr>
          <w:ilvl w:val="1"/>
          <w:numId w:val="1"/>
        </w:numPr>
        <w:rPr>
          <w:rFonts w:ascii="Arial" w:hAnsi="Arial" w:cs="Arial"/>
          <w:noProof/>
          <w:szCs w:val="24"/>
        </w:rPr>
      </w:pPr>
      <w:r w:rsidRPr="00B6154C">
        <w:rPr>
          <w:rFonts w:ascii="Arial" w:hAnsi="Arial" w:cs="Arial"/>
          <w:noProof/>
          <w:szCs w:val="24"/>
        </w:rPr>
        <w:t>the generation of cash savings and / or discounted cash flow savings;</w:t>
      </w:r>
    </w:p>
    <w:p w:rsidR="006A7CA1" w:rsidRPr="006A7CA1" w:rsidRDefault="006A7CA1" w:rsidP="005804A2">
      <w:pPr>
        <w:ind w:left="454"/>
        <w:rPr>
          <w:rFonts w:ascii="Arial" w:hAnsi="Arial" w:cs="Arial"/>
          <w:noProof/>
          <w:szCs w:val="24"/>
        </w:rPr>
      </w:pPr>
    </w:p>
    <w:p w:rsidR="006A7CA1" w:rsidRPr="006A7CA1" w:rsidRDefault="006A7CA1" w:rsidP="00B6154C">
      <w:pPr>
        <w:numPr>
          <w:ilvl w:val="1"/>
          <w:numId w:val="1"/>
        </w:numPr>
        <w:rPr>
          <w:rFonts w:ascii="Arial" w:hAnsi="Arial" w:cs="Arial"/>
          <w:noProof/>
          <w:szCs w:val="24"/>
        </w:rPr>
      </w:pPr>
      <w:r w:rsidRPr="006A7CA1">
        <w:rPr>
          <w:rFonts w:ascii="Arial" w:hAnsi="Arial" w:cs="Arial"/>
          <w:noProof/>
          <w:szCs w:val="24"/>
        </w:rPr>
        <w:t>helping to fulfil the treasury strategy;</w:t>
      </w:r>
    </w:p>
    <w:p w:rsidR="006A7CA1" w:rsidRPr="006A7CA1" w:rsidRDefault="006A7CA1" w:rsidP="005804A2">
      <w:pPr>
        <w:ind w:left="454"/>
        <w:rPr>
          <w:rFonts w:ascii="Arial" w:hAnsi="Arial" w:cs="Arial"/>
          <w:noProof/>
          <w:szCs w:val="24"/>
        </w:rPr>
      </w:pPr>
    </w:p>
    <w:p w:rsidR="006A7CA1" w:rsidRDefault="006A7CA1" w:rsidP="00B6154C">
      <w:pPr>
        <w:numPr>
          <w:ilvl w:val="1"/>
          <w:numId w:val="1"/>
        </w:numPr>
        <w:rPr>
          <w:rFonts w:ascii="Arial" w:hAnsi="Arial" w:cs="Arial"/>
          <w:noProof/>
          <w:szCs w:val="24"/>
        </w:rPr>
      </w:pPr>
      <w:r w:rsidRPr="006A7CA1">
        <w:rPr>
          <w:rFonts w:ascii="Arial" w:hAnsi="Arial" w:cs="Arial"/>
          <w:noProof/>
          <w:szCs w:val="24"/>
        </w:rPr>
        <w:t xml:space="preserve">enhance the balance of the portfolio (amend the maturity profile </w:t>
      </w:r>
      <w:r w:rsidRPr="0041191D">
        <w:rPr>
          <w:rFonts w:ascii="Arial" w:hAnsi="Arial" w:cs="Arial"/>
          <w:noProof/>
          <w:szCs w:val="24"/>
        </w:rPr>
        <w:t>and/or the balance of volatility).</w:t>
      </w:r>
    </w:p>
    <w:p w:rsidR="00AE6394" w:rsidRDefault="00AE6394" w:rsidP="00AE6394">
      <w:pPr>
        <w:pStyle w:val="ListParagraph"/>
        <w:rPr>
          <w:rFonts w:ascii="Arial" w:hAnsi="Arial" w:cs="Arial"/>
          <w:noProof/>
          <w:szCs w:val="24"/>
        </w:rPr>
      </w:pPr>
    </w:p>
    <w:p w:rsidR="00AE6394" w:rsidRDefault="00AE6394" w:rsidP="00AE6394">
      <w:pPr>
        <w:numPr>
          <w:ilvl w:val="0"/>
          <w:numId w:val="1"/>
        </w:numPr>
        <w:rPr>
          <w:rFonts w:ascii="Arial" w:hAnsi="Arial" w:cs="Arial"/>
          <w:noProof/>
          <w:szCs w:val="24"/>
        </w:rPr>
      </w:pPr>
      <w:r>
        <w:rPr>
          <w:rFonts w:ascii="Arial" w:hAnsi="Arial" w:cs="Arial"/>
          <w:noProof/>
          <w:szCs w:val="24"/>
        </w:rPr>
        <w:t xml:space="preserve">Consideration will also be given to identify if there is any residual potential for making savings by running down investment balances to repay debt prematurely </w:t>
      </w:r>
      <w:r>
        <w:rPr>
          <w:rFonts w:ascii="Arial" w:hAnsi="Arial" w:cs="Arial"/>
          <w:noProof/>
          <w:szCs w:val="24"/>
        </w:rPr>
        <w:lastRenderedPageBreak/>
        <w:t>as short term rates on investments are likely to be lower than rat</w:t>
      </w:r>
      <w:r w:rsidR="007E6F08">
        <w:rPr>
          <w:rFonts w:ascii="Arial" w:hAnsi="Arial" w:cs="Arial"/>
          <w:noProof/>
          <w:szCs w:val="24"/>
        </w:rPr>
        <w:t>e</w:t>
      </w:r>
      <w:r>
        <w:rPr>
          <w:rFonts w:ascii="Arial" w:hAnsi="Arial" w:cs="Arial"/>
          <w:noProof/>
          <w:szCs w:val="24"/>
        </w:rPr>
        <w:t>s paid on current debt.</w:t>
      </w:r>
    </w:p>
    <w:p w:rsidR="00AE6394" w:rsidRDefault="00AE6394" w:rsidP="00AE6394">
      <w:pPr>
        <w:ind w:left="567"/>
        <w:rPr>
          <w:rFonts w:ascii="Arial" w:hAnsi="Arial" w:cs="Arial"/>
          <w:noProof/>
          <w:szCs w:val="24"/>
        </w:rPr>
      </w:pPr>
    </w:p>
    <w:p w:rsidR="00AE6394" w:rsidRDefault="00AE6394" w:rsidP="00AE6394">
      <w:pPr>
        <w:numPr>
          <w:ilvl w:val="0"/>
          <w:numId w:val="1"/>
        </w:numPr>
        <w:rPr>
          <w:rFonts w:ascii="Arial" w:hAnsi="Arial" w:cs="Arial"/>
          <w:noProof/>
          <w:szCs w:val="24"/>
        </w:rPr>
      </w:pPr>
      <w:r>
        <w:rPr>
          <w:rFonts w:ascii="Arial" w:hAnsi="Arial" w:cs="Arial"/>
          <w:noProof/>
          <w:szCs w:val="24"/>
        </w:rPr>
        <w:t xml:space="preserve">All rescheduling will be reported to Committee at the earliest meeting following its action. </w:t>
      </w:r>
    </w:p>
    <w:p w:rsidR="007E6F08" w:rsidRDefault="007E6F08" w:rsidP="007E6F08">
      <w:pPr>
        <w:pStyle w:val="ListParagraph"/>
        <w:rPr>
          <w:rFonts w:ascii="Arial" w:hAnsi="Arial" w:cs="Arial"/>
          <w:noProof/>
          <w:szCs w:val="24"/>
        </w:rPr>
      </w:pPr>
    </w:p>
    <w:p w:rsidR="007E6F08" w:rsidRPr="0041191D" w:rsidRDefault="007E6F08" w:rsidP="00AE6394">
      <w:pPr>
        <w:numPr>
          <w:ilvl w:val="0"/>
          <w:numId w:val="1"/>
        </w:numPr>
        <w:rPr>
          <w:rFonts w:ascii="Arial" w:hAnsi="Arial" w:cs="Arial"/>
          <w:noProof/>
          <w:szCs w:val="24"/>
        </w:rPr>
      </w:pPr>
      <w:r>
        <w:rPr>
          <w:rFonts w:ascii="Arial" w:hAnsi="Arial" w:cs="Arial"/>
          <w:noProof/>
          <w:szCs w:val="24"/>
        </w:rPr>
        <w:t>An opportunity arose in December 2018 to repay 2 of the Council’s Lender Option Borrower Options (LOBO’s) loans early and even taking account of the associated premium for early settlement the savings to the Council in cash terms are £</w:t>
      </w:r>
      <w:r w:rsidR="00D451E4">
        <w:rPr>
          <w:rFonts w:ascii="Arial" w:hAnsi="Arial" w:cs="Arial"/>
          <w:noProof/>
          <w:szCs w:val="24"/>
        </w:rPr>
        <w:t>26.740m</w:t>
      </w:r>
      <w:r>
        <w:rPr>
          <w:rFonts w:ascii="Arial" w:hAnsi="Arial" w:cs="Arial"/>
          <w:noProof/>
          <w:szCs w:val="24"/>
        </w:rPr>
        <w:t xml:space="preserve"> over the remaining 42 years and £</w:t>
      </w:r>
      <w:r w:rsidR="00D451E4">
        <w:rPr>
          <w:rFonts w:ascii="Arial" w:hAnsi="Arial" w:cs="Arial"/>
          <w:noProof/>
          <w:szCs w:val="24"/>
        </w:rPr>
        <w:t>12.658</w:t>
      </w:r>
      <w:r>
        <w:rPr>
          <w:rFonts w:ascii="Arial" w:hAnsi="Arial" w:cs="Arial"/>
          <w:noProof/>
          <w:szCs w:val="24"/>
        </w:rPr>
        <w:t>m at discounted rates.</w:t>
      </w:r>
    </w:p>
    <w:p w:rsidR="007A4699" w:rsidRDefault="007A4699" w:rsidP="005804A2">
      <w:pPr>
        <w:rPr>
          <w:rFonts w:ascii="Arial" w:hAnsi="Arial" w:cs="Arial"/>
          <w:bCs/>
          <w:noProof/>
          <w:szCs w:val="24"/>
        </w:rPr>
      </w:pPr>
    </w:p>
    <w:p w:rsidR="007A4699" w:rsidRDefault="007A4699" w:rsidP="005804A2">
      <w:pPr>
        <w:rPr>
          <w:rFonts w:ascii="Arial" w:hAnsi="Arial" w:cs="Arial"/>
          <w:b/>
          <w:bCs/>
          <w:noProof/>
          <w:szCs w:val="24"/>
        </w:rPr>
      </w:pPr>
      <w:r w:rsidRPr="007A4699">
        <w:rPr>
          <w:rFonts w:ascii="Arial" w:hAnsi="Arial" w:cs="Arial"/>
          <w:b/>
          <w:bCs/>
          <w:noProof/>
          <w:szCs w:val="24"/>
        </w:rPr>
        <w:t>Municipal Bond Agency</w:t>
      </w:r>
    </w:p>
    <w:p w:rsidR="00AB5A6A" w:rsidRDefault="00AB5A6A" w:rsidP="005804A2">
      <w:pPr>
        <w:rPr>
          <w:rFonts w:ascii="Arial" w:hAnsi="Arial" w:cs="Arial"/>
          <w:b/>
          <w:bCs/>
          <w:noProof/>
          <w:szCs w:val="24"/>
        </w:rPr>
      </w:pPr>
    </w:p>
    <w:p w:rsidR="00AE6394" w:rsidRPr="00AE6394" w:rsidRDefault="00AB5A6A" w:rsidP="00231328">
      <w:pPr>
        <w:numPr>
          <w:ilvl w:val="0"/>
          <w:numId w:val="1"/>
        </w:numPr>
        <w:overflowPunct/>
        <w:autoSpaceDE/>
        <w:autoSpaceDN/>
        <w:adjustRightInd/>
        <w:textAlignment w:val="auto"/>
        <w:rPr>
          <w:rFonts w:ascii="Arial" w:hAnsi="Arial" w:cs="Arial"/>
          <w:b/>
          <w:noProof/>
        </w:rPr>
      </w:pPr>
      <w:r w:rsidRPr="00AE6394">
        <w:rPr>
          <w:rFonts w:ascii="Arial" w:hAnsi="Arial" w:cs="Arial"/>
          <w:bCs/>
          <w:noProof/>
          <w:szCs w:val="24"/>
        </w:rPr>
        <w:t>It is possible that the Municipal Bond Agency will be offering loans to local authorities in the future.  The Agency hopes that the borrowing rates will be lower than th</w:t>
      </w:r>
      <w:r w:rsidR="00AE6394" w:rsidRPr="00AE6394">
        <w:rPr>
          <w:rFonts w:ascii="Arial" w:hAnsi="Arial" w:cs="Arial"/>
          <w:bCs/>
          <w:noProof/>
          <w:szCs w:val="24"/>
        </w:rPr>
        <w:t>o</w:t>
      </w:r>
      <w:r w:rsidRPr="00AE6394">
        <w:rPr>
          <w:rFonts w:ascii="Arial" w:hAnsi="Arial" w:cs="Arial"/>
          <w:bCs/>
          <w:noProof/>
          <w:szCs w:val="24"/>
        </w:rPr>
        <w:t xml:space="preserve">se offered by the Public Works loans Board (PWLB). This </w:t>
      </w:r>
      <w:r w:rsidR="00AE6394" w:rsidRPr="00AE6394">
        <w:rPr>
          <w:rFonts w:ascii="Arial" w:hAnsi="Arial" w:cs="Arial"/>
          <w:bCs/>
          <w:noProof/>
          <w:szCs w:val="24"/>
        </w:rPr>
        <w:t>Council</w:t>
      </w:r>
      <w:r w:rsidRPr="00AE6394">
        <w:rPr>
          <w:rFonts w:ascii="Arial" w:hAnsi="Arial" w:cs="Arial"/>
          <w:bCs/>
          <w:noProof/>
          <w:szCs w:val="24"/>
        </w:rPr>
        <w:t xml:space="preserve"> may make use of this new source of borrowing as and when appropriate</w:t>
      </w:r>
      <w:r w:rsidR="00052E7B" w:rsidRPr="00AE6394">
        <w:rPr>
          <w:rFonts w:ascii="Arial" w:hAnsi="Arial" w:cs="Arial"/>
          <w:bCs/>
          <w:noProof/>
          <w:szCs w:val="24"/>
        </w:rPr>
        <w:t>.</w:t>
      </w:r>
    </w:p>
    <w:p w:rsidR="00AE6394" w:rsidRPr="00AE6394" w:rsidRDefault="00AE6394" w:rsidP="00AE6394">
      <w:pPr>
        <w:overflowPunct/>
        <w:autoSpaceDE/>
        <w:autoSpaceDN/>
        <w:adjustRightInd/>
        <w:ind w:left="567"/>
        <w:textAlignment w:val="auto"/>
        <w:rPr>
          <w:rFonts w:ascii="Arial" w:hAnsi="Arial" w:cs="Arial"/>
          <w:b/>
          <w:noProof/>
        </w:rPr>
      </w:pPr>
    </w:p>
    <w:p w:rsidR="00D42C71" w:rsidRDefault="00B6154C" w:rsidP="00AE6394">
      <w:pPr>
        <w:overflowPunct/>
        <w:autoSpaceDE/>
        <w:autoSpaceDN/>
        <w:adjustRightInd/>
        <w:textAlignment w:val="auto"/>
        <w:rPr>
          <w:rFonts w:ascii="Arial" w:hAnsi="Arial" w:cs="Arial"/>
          <w:b/>
          <w:noProof/>
        </w:rPr>
      </w:pPr>
      <w:r w:rsidRPr="00AE6394">
        <w:rPr>
          <w:rFonts w:ascii="Arial" w:hAnsi="Arial" w:cs="Arial"/>
          <w:b/>
          <w:noProof/>
        </w:rPr>
        <w:t>Annual Investment Strategy</w:t>
      </w:r>
    </w:p>
    <w:p w:rsidR="00AE6394" w:rsidRPr="00AE6394" w:rsidRDefault="00AE6394" w:rsidP="00AE6394">
      <w:pPr>
        <w:overflowPunct/>
        <w:autoSpaceDE/>
        <w:autoSpaceDN/>
        <w:adjustRightInd/>
        <w:textAlignment w:val="auto"/>
        <w:rPr>
          <w:rFonts w:ascii="Arial" w:hAnsi="Arial" w:cs="Arial"/>
          <w:b/>
          <w:noProof/>
        </w:rPr>
      </w:pPr>
    </w:p>
    <w:p w:rsidR="00D42C71" w:rsidRDefault="00D42C71" w:rsidP="005804A2">
      <w:pPr>
        <w:numPr>
          <w:ilvl w:val="12"/>
          <w:numId w:val="0"/>
        </w:numPr>
        <w:jc w:val="both"/>
        <w:rPr>
          <w:rFonts w:ascii="Arial" w:hAnsi="Arial" w:cs="Arial"/>
          <w:b/>
          <w:noProof/>
          <w:szCs w:val="24"/>
        </w:rPr>
      </w:pPr>
      <w:r w:rsidRPr="00D42C71">
        <w:rPr>
          <w:rFonts w:ascii="Arial" w:hAnsi="Arial" w:cs="Arial"/>
          <w:b/>
          <w:noProof/>
          <w:szCs w:val="24"/>
        </w:rPr>
        <w:t>Investment and Creditworthiness Policy</w:t>
      </w:r>
    </w:p>
    <w:p w:rsidR="00B6154C" w:rsidRPr="00D42C71" w:rsidRDefault="00B6154C" w:rsidP="005804A2">
      <w:pPr>
        <w:numPr>
          <w:ilvl w:val="12"/>
          <w:numId w:val="0"/>
        </w:numPr>
        <w:jc w:val="both"/>
        <w:rPr>
          <w:rFonts w:ascii="Arial" w:hAnsi="Arial" w:cs="Arial"/>
          <w:b/>
          <w:noProof/>
          <w:szCs w:val="24"/>
        </w:rPr>
      </w:pPr>
    </w:p>
    <w:p w:rsidR="00D42C71" w:rsidRDefault="008B4901" w:rsidP="005804A2">
      <w:pPr>
        <w:numPr>
          <w:ilvl w:val="0"/>
          <w:numId w:val="1"/>
        </w:numPr>
        <w:rPr>
          <w:rFonts w:ascii="Arial" w:hAnsi="Arial" w:cs="Arial"/>
          <w:noProof/>
          <w:szCs w:val="24"/>
        </w:rPr>
      </w:pPr>
      <w:r>
        <w:rPr>
          <w:rFonts w:ascii="Arial" w:hAnsi="Arial" w:cs="Arial"/>
          <w:noProof/>
          <w:szCs w:val="24"/>
        </w:rPr>
        <w:t>The MHCLG and CIPFA have extended the meaning of ‘investments’ to include both financial and non-financial investments</w:t>
      </w:r>
      <w:r w:rsidR="00D42C71" w:rsidRPr="00D42C71">
        <w:rPr>
          <w:rFonts w:ascii="Arial" w:hAnsi="Arial" w:cs="Arial"/>
          <w:noProof/>
          <w:szCs w:val="24"/>
        </w:rPr>
        <w:t>.</w:t>
      </w:r>
      <w:r>
        <w:rPr>
          <w:rFonts w:ascii="Arial" w:hAnsi="Arial" w:cs="Arial"/>
          <w:noProof/>
          <w:szCs w:val="24"/>
        </w:rPr>
        <w:t xml:space="preserve"> This report deals soley with financial investments, and non-financial investments, essentially the purchase of income yielding assets, are covered in the Capital Strategy.  </w:t>
      </w:r>
    </w:p>
    <w:p w:rsidR="00AE6394" w:rsidRDefault="00AE6394" w:rsidP="00AE6394">
      <w:pPr>
        <w:ind w:left="567"/>
        <w:rPr>
          <w:rFonts w:ascii="Arial" w:hAnsi="Arial" w:cs="Arial"/>
          <w:noProof/>
          <w:szCs w:val="24"/>
        </w:rPr>
      </w:pPr>
    </w:p>
    <w:p w:rsidR="006A78D3" w:rsidRDefault="00AE6394" w:rsidP="00AE6394">
      <w:pPr>
        <w:numPr>
          <w:ilvl w:val="0"/>
          <w:numId w:val="1"/>
        </w:numPr>
        <w:rPr>
          <w:rFonts w:ascii="Arial" w:hAnsi="Arial" w:cs="Arial"/>
          <w:noProof/>
          <w:szCs w:val="24"/>
        </w:rPr>
      </w:pPr>
      <w:r w:rsidRPr="00D42C71">
        <w:rPr>
          <w:rFonts w:ascii="Arial" w:hAnsi="Arial" w:cs="Arial"/>
          <w:noProof/>
          <w:szCs w:val="24"/>
        </w:rPr>
        <w:t>The Council’s investment policy has regard to the</w:t>
      </w:r>
      <w:r w:rsidR="006A78D3">
        <w:rPr>
          <w:rFonts w:ascii="Arial" w:hAnsi="Arial" w:cs="Arial"/>
          <w:noProof/>
          <w:szCs w:val="24"/>
        </w:rPr>
        <w:t xml:space="preserve"> following:</w:t>
      </w:r>
    </w:p>
    <w:p w:rsidR="006A78D3" w:rsidRDefault="006A78D3" w:rsidP="006A78D3">
      <w:pPr>
        <w:pStyle w:val="ListParagraph"/>
        <w:rPr>
          <w:rFonts w:ascii="Arial" w:hAnsi="Arial" w:cs="Arial"/>
          <w:noProof/>
          <w:szCs w:val="24"/>
        </w:rPr>
      </w:pPr>
    </w:p>
    <w:p w:rsidR="006A78D3" w:rsidRDefault="00AE6394" w:rsidP="006A78D3">
      <w:pPr>
        <w:numPr>
          <w:ilvl w:val="1"/>
          <w:numId w:val="1"/>
        </w:numPr>
        <w:rPr>
          <w:rFonts w:ascii="Arial" w:hAnsi="Arial" w:cs="Arial"/>
          <w:noProof/>
          <w:szCs w:val="24"/>
        </w:rPr>
      </w:pPr>
      <w:r>
        <w:rPr>
          <w:rFonts w:ascii="Arial" w:hAnsi="Arial" w:cs="Arial"/>
          <w:noProof/>
          <w:szCs w:val="24"/>
        </w:rPr>
        <w:t>MH</w:t>
      </w:r>
      <w:r w:rsidRPr="00D42C71">
        <w:rPr>
          <w:rFonts w:ascii="Arial" w:hAnsi="Arial" w:cs="Arial"/>
          <w:noProof/>
          <w:szCs w:val="24"/>
        </w:rPr>
        <w:t>CLG’s Guidance on Local Government Investments (“the Guidance”)</w:t>
      </w:r>
    </w:p>
    <w:p w:rsidR="006A78D3" w:rsidRDefault="00AE6394" w:rsidP="006A78D3">
      <w:pPr>
        <w:numPr>
          <w:ilvl w:val="1"/>
          <w:numId w:val="1"/>
        </w:numPr>
        <w:rPr>
          <w:rFonts w:ascii="Arial" w:hAnsi="Arial" w:cs="Arial"/>
          <w:noProof/>
          <w:szCs w:val="24"/>
        </w:rPr>
      </w:pPr>
      <w:r w:rsidRPr="00D42C71">
        <w:rPr>
          <w:rFonts w:ascii="Arial" w:hAnsi="Arial" w:cs="Arial"/>
          <w:noProof/>
          <w:szCs w:val="24"/>
        </w:rPr>
        <w:t>CIPFA Treasury Management in Public Services Code of Practice and Cross Sectoral Guidance Notes</w:t>
      </w:r>
      <w:r w:rsidR="006A78D3">
        <w:rPr>
          <w:rFonts w:ascii="Arial" w:hAnsi="Arial" w:cs="Arial"/>
          <w:noProof/>
          <w:szCs w:val="24"/>
        </w:rPr>
        <w:t xml:space="preserve"> 2017</w:t>
      </w:r>
      <w:r w:rsidRPr="00D42C71">
        <w:rPr>
          <w:rFonts w:ascii="Arial" w:hAnsi="Arial" w:cs="Arial"/>
          <w:noProof/>
          <w:szCs w:val="24"/>
        </w:rPr>
        <w:t xml:space="preserve"> (“the CIPFA TM Code”)</w:t>
      </w:r>
    </w:p>
    <w:p w:rsidR="006A78D3" w:rsidRDefault="006A78D3" w:rsidP="006A78D3">
      <w:pPr>
        <w:numPr>
          <w:ilvl w:val="1"/>
          <w:numId w:val="1"/>
        </w:numPr>
        <w:rPr>
          <w:rFonts w:ascii="Arial" w:hAnsi="Arial" w:cs="Arial"/>
          <w:noProof/>
          <w:szCs w:val="24"/>
        </w:rPr>
      </w:pPr>
      <w:r>
        <w:rPr>
          <w:rFonts w:ascii="Arial" w:hAnsi="Arial" w:cs="Arial"/>
          <w:noProof/>
          <w:szCs w:val="24"/>
        </w:rPr>
        <w:t>CIPFA Treasury Management Guidance Notes 2018</w:t>
      </w:r>
    </w:p>
    <w:p w:rsidR="00403A46" w:rsidRDefault="00403A46" w:rsidP="00403A46">
      <w:pPr>
        <w:ind w:left="1447"/>
        <w:rPr>
          <w:rFonts w:ascii="Arial" w:hAnsi="Arial" w:cs="Arial"/>
          <w:noProof/>
          <w:szCs w:val="24"/>
        </w:rPr>
      </w:pPr>
    </w:p>
    <w:p w:rsidR="00403A46" w:rsidRDefault="00403A46" w:rsidP="00403A46">
      <w:pPr>
        <w:numPr>
          <w:ilvl w:val="0"/>
          <w:numId w:val="1"/>
        </w:numPr>
        <w:rPr>
          <w:rFonts w:ascii="Arial" w:hAnsi="Arial" w:cs="Arial"/>
          <w:noProof/>
          <w:szCs w:val="24"/>
        </w:rPr>
      </w:pPr>
      <w:r>
        <w:rPr>
          <w:rFonts w:ascii="Arial" w:hAnsi="Arial" w:cs="Arial"/>
          <w:noProof/>
          <w:szCs w:val="24"/>
        </w:rPr>
        <w:t>The Counci</w:t>
      </w:r>
      <w:r w:rsidRPr="00D42C71">
        <w:rPr>
          <w:rFonts w:ascii="Arial" w:hAnsi="Arial" w:cs="Arial"/>
          <w:noProof/>
          <w:szCs w:val="24"/>
        </w:rPr>
        <w:t>l’s investment priorities will be security first, liquidity second</w:t>
      </w:r>
      <w:r>
        <w:rPr>
          <w:rFonts w:ascii="Arial" w:hAnsi="Arial" w:cs="Arial"/>
          <w:noProof/>
          <w:szCs w:val="24"/>
        </w:rPr>
        <w:t xml:space="preserve"> and </w:t>
      </w:r>
      <w:r w:rsidRPr="00D42C71">
        <w:rPr>
          <w:rFonts w:ascii="Arial" w:hAnsi="Arial" w:cs="Arial"/>
          <w:noProof/>
          <w:szCs w:val="24"/>
        </w:rPr>
        <w:t>then</w:t>
      </w:r>
      <w:r>
        <w:rPr>
          <w:rFonts w:ascii="Arial" w:hAnsi="Arial" w:cs="Arial"/>
          <w:noProof/>
          <w:szCs w:val="24"/>
        </w:rPr>
        <w:t xml:space="preserve"> yield</w:t>
      </w:r>
      <w:r w:rsidRPr="00D42C71">
        <w:rPr>
          <w:rFonts w:ascii="Arial" w:hAnsi="Arial" w:cs="Arial"/>
          <w:noProof/>
          <w:szCs w:val="24"/>
        </w:rPr>
        <w:t xml:space="preserve"> </w:t>
      </w:r>
      <w:r>
        <w:rPr>
          <w:rFonts w:ascii="Arial" w:hAnsi="Arial" w:cs="Arial"/>
          <w:noProof/>
          <w:szCs w:val="24"/>
        </w:rPr>
        <w:t>(</w:t>
      </w:r>
      <w:r w:rsidRPr="00D42C71">
        <w:rPr>
          <w:rFonts w:ascii="Arial" w:hAnsi="Arial" w:cs="Arial"/>
          <w:noProof/>
          <w:szCs w:val="24"/>
        </w:rPr>
        <w:t>return</w:t>
      </w:r>
      <w:r>
        <w:rPr>
          <w:rFonts w:ascii="Arial" w:hAnsi="Arial" w:cs="Arial"/>
          <w:noProof/>
          <w:szCs w:val="24"/>
        </w:rPr>
        <w:t>).</w:t>
      </w:r>
    </w:p>
    <w:p w:rsidR="006A78D3" w:rsidRDefault="006A78D3" w:rsidP="006A78D3">
      <w:pPr>
        <w:ind w:left="1447"/>
        <w:rPr>
          <w:rFonts w:ascii="Arial" w:hAnsi="Arial" w:cs="Arial"/>
          <w:noProof/>
          <w:szCs w:val="24"/>
        </w:rPr>
      </w:pPr>
    </w:p>
    <w:p w:rsidR="00D42C71" w:rsidRDefault="00D42C71" w:rsidP="005804A2">
      <w:pPr>
        <w:numPr>
          <w:ilvl w:val="0"/>
          <w:numId w:val="1"/>
        </w:numPr>
        <w:jc w:val="both"/>
        <w:rPr>
          <w:rFonts w:ascii="Arial" w:hAnsi="Arial" w:cs="Arial"/>
          <w:noProof/>
          <w:szCs w:val="24"/>
        </w:rPr>
      </w:pPr>
      <w:r w:rsidRPr="00052E7B">
        <w:rPr>
          <w:rFonts w:ascii="Arial" w:hAnsi="Arial" w:cs="Arial"/>
          <w:noProof/>
          <w:szCs w:val="24"/>
        </w:rPr>
        <w:t>In accordance with the above</w:t>
      </w:r>
      <w:r w:rsidR="00052E7B">
        <w:rPr>
          <w:rFonts w:ascii="Arial" w:hAnsi="Arial" w:cs="Arial"/>
          <w:noProof/>
          <w:szCs w:val="24"/>
        </w:rPr>
        <w:t xml:space="preserve"> guidance from </w:t>
      </w:r>
      <w:r w:rsidR="00AE6394">
        <w:rPr>
          <w:rFonts w:ascii="Arial" w:hAnsi="Arial" w:cs="Arial"/>
          <w:noProof/>
          <w:szCs w:val="24"/>
        </w:rPr>
        <w:t>MH</w:t>
      </w:r>
      <w:r w:rsidR="00052E7B">
        <w:rPr>
          <w:rFonts w:ascii="Arial" w:hAnsi="Arial" w:cs="Arial"/>
          <w:noProof/>
          <w:szCs w:val="24"/>
        </w:rPr>
        <w:t>CLG and CIPFA, and in order to minimise the risk to investments, the Council applies minimum acceptable credit criteria in order to generate a list of highly creditworthy counterparties which enables</w:t>
      </w:r>
      <w:r w:rsidR="001A31E7">
        <w:rPr>
          <w:rFonts w:ascii="Arial" w:hAnsi="Arial" w:cs="Arial"/>
          <w:noProof/>
          <w:szCs w:val="24"/>
        </w:rPr>
        <w:t xml:space="preserve"> diversification and thus avoidance of concentration risk. The key ratings used to monitor counterparties are the </w:t>
      </w:r>
      <w:r w:rsidR="00231328">
        <w:rPr>
          <w:rFonts w:ascii="Arial" w:hAnsi="Arial" w:cs="Arial"/>
          <w:noProof/>
          <w:szCs w:val="24"/>
        </w:rPr>
        <w:t>s</w:t>
      </w:r>
      <w:r w:rsidR="001A31E7">
        <w:rPr>
          <w:rFonts w:ascii="Arial" w:hAnsi="Arial" w:cs="Arial"/>
          <w:noProof/>
          <w:szCs w:val="24"/>
        </w:rPr>
        <w:t xml:space="preserve">hort </w:t>
      </w:r>
      <w:r w:rsidR="00231328">
        <w:rPr>
          <w:rFonts w:ascii="Arial" w:hAnsi="Arial" w:cs="Arial"/>
          <w:noProof/>
          <w:szCs w:val="24"/>
        </w:rPr>
        <w:t>t</w:t>
      </w:r>
      <w:r w:rsidR="001A31E7">
        <w:rPr>
          <w:rFonts w:ascii="Arial" w:hAnsi="Arial" w:cs="Arial"/>
          <w:noProof/>
          <w:szCs w:val="24"/>
        </w:rPr>
        <w:t xml:space="preserve">erm and </w:t>
      </w:r>
      <w:r w:rsidR="00231328">
        <w:rPr>
          <w:rFonts w:ascii="Arial" w:hAnsi="Arial" w:cs="Arial"/>
          <w:noProof/>
          <w:szCs w:val="24"/>
        </w:rPr>
        <w:t>l</w:t>
      </w:r>
      <w:r w:rsidR="001A31E7">
        <w:rPr>
          <w:rFonts w:ascii="Arial" w:hAnsi="Arial" w:cs="Arial"/>
          <w:noProof/>
          <w:szCs w:val="24"/>
        </w:rPr>
        <w:t>ong</w:t>
      </w:r>
      <w:r w:rsidR="00231328">
        <w:rPr>
          <w:rFonts w:ascii="Arial" w:hAnsi="Arial" w:cs="Arial"/>
          <w:noProof/>
          <w:szCs w:val="24"/>
        </w:rPr>
        <w:t>-t</w:t>
      </w:r>
      <w:r w:rsidR="001A31E7">
        <w:rPr>
          <w:rFonts w:ascii="Arial" w:hAnsi="Arial" w:cs="Arial"/>
          <w:noProof/>
          <w:szCs w:val="24"/>
        </w:rPr>
        <w:t>erm ratings.</w:t>
      </w:r>
    </w:p>
    <w:p w:rsidR="006A78D3" w:rsidRDefault="006A78D3" w:rsidP="006A78D3">
      <w:pPr>
        <w:ind w:left="567"/>
        <w:jc w:val="both"/>
        <w:rPr>
          <w:rFonts w:ascii="Arial" w:hAnsi="Arial" w:cs="Arial"/>
          <w:noProof/>
          <w:szCs w:val="24"/>
        </w:rPr>
      </w:pPr>
    </w:p>
    <w:p w:rsidR="00D42C71" w:rsidRPr="00DA2854" w:rsidRDefault="00D42C71" w:rsidP="005804A2">
      <w:pPr>
        <w:numPr>
          <w:ilvl w:val="0"/>
          <w:numId w:val="1"/>
        </w:numPr>
        <w:rPr>
          <w:rFonts w:ascii="Arial" w:hAnsi="Arial" w:cs="Arial"/>
          <w:noProof/>
          <w:szCs w:val="24"/>
        </w:rPr>
      </w:pPr>
      <w:r w:rsidRPr="00D42C71">
        <w:rPr>
          <w:rFonts w:ascii="Arial" w:hAnsi="Arial" w:cs="Arial"/>
          <w:noProof/>
          <w:szCs w:val="24"/>
        </w:rPr>
        <w:t xml:space="preserve">Further, the Council’s officers recognise that ratings should not be the sole determinant of the quality of an institution and that it is important to continually assess and monitor the financial sector on both a micro and macro basis and in relation to the economic and political environments in which institutions operate.  The assessment will also take account of information that reflects the opinion of the markets.  To </w:t>
      </w:r>
      <w:r w:rsidR="001A31E7">
        <w:rPr>
          <w:rFonts w:ascii="Arial" w:hAnsi="Arial" w:cs="Arial"/>
          <w:noProof/>
          <w:szCs w:val="24"/>
        </w:rPr>
        <w:t>achieve this</w:t>
      </w:r>
      <w:r w:rsidRPr="00D42C71">
        <w:rPr>
          <w:rFonts w:ascii="Arial" w:hAnsi="Arial" w:cs="Arial"/>
          <w:noProof/>
          <w:szCs w:val="24"/>
        </w:rPr>
        <w:t xml:space="preserve"> the Council will engage with its advisors to maintain a monitor on market pricing such as “Credit Default Swaps” and overlay that </w:t>
      </w:r>
      <w:r w:rsidRPr="00D42C71">
        <w:rPr>
          <w:rFonts w:ascii="Arial" w:hAnsi="Arial" w:cs="Arial"/>
          <w:noProof/>
          <w:szCs w:val="24"/>
        </w:rPr>
        <w:lastRenderedPageBreak/>
        <w:t xml:space="preserve">information on top of the credit ratings. This is encapsulated within the credit methodology </w:t>
      </w:r>
      <w:r w:rsidRPr="00DA2854">
        <w:rPr>
          <w:rFonts w:ascii="Arial" w:hAnsi="Arial" w:cs="Arial"/>
          <w:noProof/>
          <w:szCs w:val="24"/>
        </w:rPr>
        <w:t xml:space="preserve">provided by the advisors, </w:t>
      </w:r>
      <w:r w:rsidR="001A31E7">
        <w:rPr>
          <w:rFonts w:ascii="Arial" w:hAnsi="Arial" w:cs="Arial"/>
          <w:noProof/>
          <w:szCs w:val="24"/>
        </w:rPr>
        <w:t xml:space="preserve">Link </w:t>
      </w:r>
      <w:r w:rsidR="00A84FD2">
        <w:rPr>
          <w:rFonts w:ascii="Arial" w:hAnsi="Arial" w:cs="Arial"/>
          <w:noProof/>
          <w:szCs w:val="24"/>
        </w:rPr>
        <w:t>Asset Services</w:t>
      </w:r>
      <w:r w:rsidRPr="00DA2854">
        <w:rPr>
          <w:rFonts w:ascii="Arial" w:hAnsi="Arial" w:cs="Arial"/>
          <w:noProof/>
          <w:szCs w:val="24"/>
        </w:rPr>
        <w:t>.</w:t>
      </w:r>
    </w:p>
    <w:p w:rsidR="00D42C71" w:rsidRPr="00DA2854" w:rsidRDefault="00D42C71" w:rsidP="005804A2">
      <w:pPr>
        <w:jc w:val="both"/>
        <w:rPr>
          <w:rFonts w:ascii="Arial" w:hAnsi="Arial" w:cs="Arial"/>
          <w:noProof/>
          <w:szCs w:val="24"/>
        </w:rPr>
      </w:pPr>
    </w:p>
    <w:p w:rsidR="00D42C71" w:rsidRPr="00DA2854" w:rsidRDefault="00D42C71" w:rsidP="005804A2">
      <w:pPr>
        <w:numPr>
          <w:ilvl w:val="0"/>
          <w:numId w:val="1"/>
        </w:numPr>
        <w:rPr>
          <w:rFonts w:ascii="Arial" w:hAnsi="Arial" w:cs="Arial"/>
          <w:noProof/>
          <w:szCs w:val="24"/>
        </w:rPr>
      </w:pPr>
      <w:r w:rsidRPr="00DA2854">
        <w:rPr>
          <w:rFonts w:ascii="Arial" w:hAnsi="Arial" w:cs="Arial"/>
          <w:noProof/>
          <w:szCs w:val="24"/>
        </w:rPr>
        <w:t>Other information sources used will include the financial press, share price and other such information pertaining to the banking sector in order to establish the most robust scrutiny process on the suitability of potential investment counterparties.</w:t>
      </w:r>
    </w:p>
    <w:p w:rsidR="00D42C71" w:rsidRDefault="00D42C71" w:rsidP="005804A2">
      <w:pPr>
        <w:rPr>
          <w:rFonts w:ascii="Arial" w:hAnsi="Arial" w:cs="Arial"/>
          <w:szCs w:val="22"/>
        </w:rPr>
      </w:pPr>
    </w:p>
    <w:p w:rsidR="00AB7C0F" w:rsidRPr="00AB7C0F" w:rsidRDefault="00AB7C0F" w:rsidP="005804A2">
      <w:pPr>
        <w:numPr>
          <w:ilvl w:val="0"/>
          <w:numId w:val="1"/>
        </w:numPr>
        <w:rPr>
          <w:rFonts w:ascii="Arial" w:hAnsi="Arial" w:cs="Arial"/>
          <w:noProof/>
          <w:szCs w:val="24"/>
        </w:rPr>
      </w:pPr>
      <w:r w:rsidRPr="00AB7C0F">
        <w:rPr>
          <w:rFonts w:ascii="Arial" w:hAnsi="Arial" w:cs="Arial"/>
          <w:noProof/>
          <w:szCs w:val="24"/>
        </w:rPr>
        <w:t>The intention of the strategy is to provide security of investment and minimisation of risk.</w:t>
      </w:r>
    </w:p>
    <w:p w:rsidR="00AB7C0F" w:rsidRPr="00AB7C0F" w:rsidRDefault="00AB7C0F" w:rsidP="005804A2">
      <w:pPr>
        <w:jc w:val="both"/>
        <w:rPr>
          <w:rFonts w:ascii="Arial" w:hAnsi="Arial" w:cs="Arial"/>
          <w:noProof/>
          <w:szCs w:val="24"/>
        </w:rPr>
      </w:pPr>
    </w:p>
    <w:p w:rsidR="00AB7C0F" w:rsidRDefault="00AB7C0F" w:rsidP="005804A2">
      <w:pPr>
        <w:numPr>
          <w:ilvl w:val="0"/>
          <w:numId w:val="1"/>
        </w:numPr>
        <w:rPr>
          <w:rFonts w:ascii="Arial" w:hAnsi="Arial" w:cs="Arial"/>
          <w:noProof/>
          <w:szCs w:val="24"/>
        </w:rPr>
      </w:pPr>
      <w:r w:rsidRPr="00AB7C0F">
        <w:rPr>
          <w:rFonts w:ascii="Arial" w:hAnsi="Arial" w:cs="Arial"/>
          <w:noProof/>
          <w:szCs w:val="24"/>
        </w:rPr>
        <w:t xml:space="preserve">Investment instruments identified for use in the financial year are listed in </w:t>
      </w:r>
      <w:r w:rsidR="00DA2854">
        <w:rPr>
          <w:rFonts w:ascii="Arial" w:hAnsi="Arial" w:cs="Arial"/>
          <w:b/>
          <w:noProof/>
          <w:szCs w:val="24"/>
        </w:rPr>
        <w:t>A</w:t>
      </w:r>
      <w:r w:rsidRPr="00AB7C0F">
        <w:rPr>
          <w:rFonts w:ascii="Arial" w:hAnsi="Arial" w:cs="Arial"/>
          <w:b/>
          <w:noProof/>
          <w:szCs w:val="24"/>
        </w:rPr>
        <w:t xml:space="preserve">ppendix </w:t>
      </w:r>
      <w:r w:rsidR="0094462D">
        <w:rPr>
          <w:rFonts w:ascii="Arial" w:hAnsi="Arial" w:cs="Arial"/>
          <w:b/>
          <w:noProof/>
          <w:szCs w:val="24"/>
        </w:rPr>
        <w:t>2</w:t>
      </w:r>
      <w:r w:rsidRPr="00AB7C0F">
        <w:rPr>
          <w:rFonts w:ascii="Arial" w:hAnsi="Arial" w:cs="Arial"/>
          <w:b/>
          <w:noProof/>
          <w:szCs w:val="24"/>
        </w:rPr>
        <w:t xml:space="preserve"> </w:t>
      </w:r>
      <w:r w:rsidRPr="00AB7C0F">
        <w:rPr>
          <w:rFonts w:ascii="Arial" w:hAnsi="Arial" w:cs="Arial"/>
          <w:noProof/>
          <w:szCs w:val="24"/>
        </w:rPr>
        <w:t xml:space="preserve">under the ‘Specified’ and ‘Non-Specified’ Investments categories. Counterparty limits will be as set through the Council’s Treasury Management Practices – Schedules. </w:t>
      </w:r>
    </w:p>
    <w:p w:rsidR="00776A17" w:rsidRDefault="00776A17" w:rsidP="00776A17">
      <w:pPr>
        <w:pStyle w:val="ListParagraph"/>
        <w:rPr>
          <w:rFonts w:ascii="Arial" w:hAnsi="Arial" w:cs="Arial"/>
          <w:noProof/>
          <w:szCs w:val="24"/>
        </w:rPr>
      </w:pPr>
    </w:p>
    <w:p w:rsidR="00776A17" w:rsidRDefault="00776A17" w:rsidP="00776A17">
      <w:pPr>
        <w:pStyle w:val="ListParagraph"/>
        <w:numPr>
          <w:ilvl w:val="1"/>
          <w:numId w:val="1"/>
        </w:numPr>
        <w:rPr>
          <w:rFonts w:ascii="Arial" w:hAnsi="Arial" w:cs="Arial"/>
          <w:noProof/>
          <w:szCs w:val="24"/>
        </w:rPr>
      </w:pPr>
      <w:r>
        <w:rPr>
          <w:rFonts w:ascii="Arial" w:hAnsi="Arial" w:cs="Arial"/>
          <w:noProof/>
          <w:szCs w:val="24"/>
        </w:rPr>
        <w:t>Specified investments are those with a high level of credit quality and subject to a maturity limit of one year.</w:t>
      </w:r>
    </w:p>
    <w:p w:rsidR="00776A17" w:rsidRPr="00776A17" w:rsidRDefault="00776A17" w:rsidP="00776A17">
      <w:pPr>
        <w:pStyle w:val="ListParagraph"/>
        <w:numPr>
          <w:ilvl w:val="1"/>
          <w:numId w:val="1"/>
        </w:numPr>
        <w:rPr>
          <w:rFonts w:ascii="Arial" w:hAnsi="Arial" w:cs="Arial"/>
          <w:noProof/>
          <w:szCs w:val="24"/>
        </w:rPr>
      </w:pPr>
      <w:r>
        <w:rPr>
          <w:rFonts w:ascii="Arial" w:hAnsi="Arial" w:cs="Arial"/>
          <w:noProof/>
          <w:szCs w:val="24"/>
        </w:rPr>
        <w:t xml:space="preserve">Non-specified investments are those with less high credit quality, may be for periods in excess of one year, and/or are more complex instruments which require greater consideration by Members and officers before being authorised for use.  </w:t>
      </w:r>
    </w:p>
    <w:p w:rsidR="004469DB" w:rsidRDefault="004469DB" w:rsidP="004469DB">
      <w:pPr>
        <w:pStyle w:val="ListParagraph"/>
        <w:rPr>
          <w:rFonts w:ascii="Arial" w:hAnsi="Arial" w:cs="Arial"/>
          <w:noProof/>
          <w:szCs w:val="24"/>
        </w:rPr>
      </w:pPr>
    </w:p>
    <w:p w:rsidR="00C41B85" w:rsidRDefault="00C41B85" w:rsidP="005804A2">
      <w:pPr>
        <w:pStyle w:val="BodyText"/>
        <w:spacing w:after="0"/>
        <w:jc w:val="both"/>
        <w:rPr>
          <w:rFonts w:ascii="Arial" w:hAnsi="Arial" w:cs="Arial"/>
          <w:b/>
          <w:bCs/>
          <w:szCs w:val="24"/>
        </w:rPr>
      </w:pPr>
      <w:r w:rsidRPr="00C41B85">
        <w:rPr>
          <w:rFonts w:ascii="Arial" w:hAnsi="Arial" w:cs="Arial"/>
          <w:b/>
          <w:bCs/>
          <w:szCs w:val="24"/>
        </w:rPr>
        <w:t xml:space="preserve">Investment </w:t>
      </w:r>
      <w:r w:rsidR="00B6154C">
        <w:rPr>
          <w:rFonts w:ascii="Arial" w:hAnsi="Arial" w:cs="Arial"/>
          <w:b/>
          <w:bCs/>
          <w:szCs w:val="24"/>
        </w:rPr>
        <w:t>Counterparty Selection Criteria</w:t>
      </w:r>
    </w:p>
    <w:p w:rsidR="00B6154C" w:rsidRPr="00C41B85" w:rsidRDefault="00B6154C" w:rsidP="005804A2">
      <w:pPr>
        <w:pStyle w:val="BodyText"/>
        <w:spacing w:after="0"/>
        <w:jc w:val="both"/>
        <w:rPr>
          <w:rFonts w:ascii="Arial" w:hAnsi="Arial" w:cs="Arial"/>
          <w:b/>
          <w:bCs/>
          <w:szCs w:val="24"/>
        </w:rPr>
      </w:pPr>
    </w:p>
    <w:p w:rsidR="00C41B85" w:rsidRDefault="00C41B85" w:rsidP="005804A2">
      <w:pPr>
        <w:numPr>
          <w:ilvl w:val="0"/>
          <w:numId w:val="1"/>
        </w:numPr>
        <w:rPr>
          <w:rFonts w:ascii="Arial" w:hAnsi="Arial" w:cs="Arial"/>
          <w:iCs/>
          <w:szCs w:val="24"/>
        </w:rPr>
      </w:pPr>
      <w:r w:rsidRPr="00C41B85">
        <w:rPr>
          <w:rFonts w:ascii="Arial" w:hAnsi="Arial" w:cs="Arial"/>
          <w:iCs/>
          <w:szCs w:val="24"/>
        </w:rPr>
        <w:t>The primary principle governing the Council’s investment criteria is the security of its investments, although the yield or return on the investment is also a key consideration.  After this main principle the Council will ensure that:</w:t>
      </w:r>
      <w:r w:rsidR="00B6154C">
        <w:rPr>
          <w:rFonts w:ascii="Arial" w:hAnsi="Arial" w:cs="Arial"/>
          <w:iCs/>
          <w:szCs w:val="24"/>
        </w:rPr>
        <w:br/>
      </w:r>
    </w:p>
    <w:p w:rsidR="00C41B85" w:rsidRPr="00B6154C" w:rsidRDefault="00C41B85" w:rsidP="00B6154C">
      <w:pPr>
        <w:numPr>
          <w:ilvl w:val="1"/>
          <w:numId w:val="1"/>
        </w:numPr>
        <w:rPr>
          <w:rFonts w:ascii="Arial" w:hAnsi="Arial" w:cs="Arial"/>
          <w:iCs/>
          <w:szCs w:val="24"/>
        </w:rPr>
      </w:pPr>
      <w:r w:rsidRPr="00B6154C">
        <w:rPr>
          <w:rFonts w:ascii="Arial" w:hAnsi="Arial" w:cs="Arial"/>
          <w:iCs/>
          <w:szCs w:val="24"/>
        </w:rPr>
        <w:t>It maintains a policy covering both the categories of investment types it will invest in, criteria for choosing investment counterparties with adequate security, and monitoring their security.  This is set out in the Specified and Non-Specified investment sections below; and</w:t>
      </w:r>
    </w:p>
    <w:p w:rsidR="00C41B85" w:rsidRPr="00C41B85" w:rsidRDefault="00C41B85" w:rsidP="005804A2">
      <w:pPr>
        <w:ind w:left="454"/>
        <w:rPr>
          <w:rFonts w:ascii="Arial" w:hAnsi="Arial" w:cs="Arial"/>
          <w:iCs/>
          <w:szCs w:val="24"/>
        </w:rPr>
      </w:pPr>
    </w:p>
    <w:p w:rsidR="00C41B85" w:rsidRPr="00C41B85" w:rsidRDefault="00C41B85" w:rsidP="00B6154C">
      <w:pPr>
        <w:numPr>
          <w:ilvl w:val="1"/>
          <w:numId w:val="1"/>
        </w:numPr>
        <w:rPr>
          <w:rFonts w:ascii="Arial" w:hAnsi="Arial" w:cs="Arial"/>
          <w:iCs/>
          <w:szCs w:val="24"/>
        </w:rPr>
      </w:pPr>
      <w:r w:rsidRPr="00C41B85">
        <w:rPr>
          <w:rFonts w:ascii="Arial" w:hAnsi="Arial" w:cs="Arial"/>
          <w:iCs/>
          <w:szCs w:val="24"/>
        </w:rPr>
        <w:t xml:space="preserve">It has sufficient liquidity in its investments.  For this purpose it will set out procedures for determining the maximum periods for which funds may prudently be committed.  These procedures also apply to the Council’s prudential indicators covering the maximum principal sums invested.  </w:t>
      </w:r>
    </w:p>
    <w:p w:rsidR="00C41B85" w:rsidRPr="00C41B85" w:rsidRDefault="00C41B85" w:rsidP="005804A2">
      <w:pPr>
        <w:ind w:left="454"/>
        <w:rPr>
          <w:rFonts w:ascii="Arial" w:hAnsi="Arial" w:cs="Arial"/>
          <w:iCs/>
          <w:szCs w:val="24"/>
        </w:rPr>
      </w:pPr>
    </w:p>
    <w:p w:rsidR="00C41B85" w:rsidRPr="00C41B85" w:rsidRDefault="00C41B85" w:rsidP="005804A2">
      <w:pPr>
        <w:numPr>
          <w:ilvl w:val="0"/>
          <w:numId w:val="1"/>
        </w:numPr>
        <w:rPr>
          <w:rFonts w:ascii="Arial" w:hAnsi="Arial" w:cs="Arial"/>
          <w:iCs/>
          <w:szCs w:val="24"/>
        </w:rPr>
      </w:pPr>
      <w:r w:rsidRPr="00C41B85">
        <w:rPr>
          <w:rFonts w:ascii="Arial" w:hAnsi="Arial" w:cs="Arial"/>
          <w:iCs/>
          <w:szCs w:val="24"/>
        </w:rPr>
        <w:t xml:space="preserve">The </w:t>
      </w:r>
      <w:r w:rsidR="00CD1CA3">
        <w:rPr>
          <w:rFonts w:ascii="Arial" w:hAnsi="Arial" w:cs="Arial"/>
          <w:iCs/>
          <w:szCs w:val="24"/>
        </w:rPr>
        <w:t xml:space="preserve">Assistant </w:t>
      </w:r>
      <w:r w:rsidR="00CF0A3F">
        <w:rPr>
          <w:rFonts w:ascii="Arial" w:hAnsi="Arial" w:cs="Arial"/>
          <w:iCs/>
          <w:szCs w:val="24"/>
        </w:rPr>
        <w:t>Director</w:t>
      </w:r>
      <w:r w:rsidR="00CD1CA3">
        <w:rPr>
          <w:rFonts w:ascii="Arial" w:hAnsi="Arial" w:cs="Arial"/>
          <w:iCs/>
          <w:szCs w:val="24"/>
        </w:rPr>
        <w:t xml:space="preserve"> Resources wi</w:t>
      </w:r>
      <w:r w:rsidRPr="00C41B85">
        <w:rPr>
          <w:rFonts w:ascii="Arial" w:hAnsi="Arial" w:cs="Arial"/>
          <w:iCs/>
          <w:szCs w:val="24"/>
        </w:rPr>
        <w:t xml:space="preserve">ll maintain a counterparty list in compliance with the following criteria and will revise the criteria and submit them to Council for approval as necessary.  These criteria are separate to that which determines which types of investment instrument are either Specified </w:t>
      </w:r>
      <w:r w:rsidR="006E0DDC">
        <w:rPr>
          <w:rFonts w:ascii="Arial" w:hAnsi="Arial" w:cs="Arial"/>
          <w:iCs/>
          <w:szCs w:val="24"/>
        </w:rPr>
        <w:t>or Non-Specified (See appendix 2</w:t>
      </w:r>
      <w:r w:rsidRPr="00C41B85">
        <w:rPr>
          <w:rFonts w:ascii="Arial" w:hAnsi="Arial" w:cs="Arial"/>
          <w:iCs/>
          <w:szCs w:val="24"/>
        </w:rPr>
        <w:t xml:space="preserve"> for definitions) as it provides an overall pool of counterparties considered high quality which the Council may use, rather than defining what types of investment instruments are to be used.  </w:t>
      </w:r>
    </w:p>
    <w:p w:rsidR="00C41B85" w:rsidRPr="00C41B85" w:rsidRDefault="00C41B85" w:rsidP="005804A2">
      <w:pPr>
        <w:rPr>
          <w:rFonts w:ascii="Arial" w:hAnsi="Arial" w:cs="Arial"/>
          <w:iCs/>
          <w:szCs w:val="24"/>
        </w:rPr>
      </w:pPr>
    </w:p>
    <w:p w:rsidR="00C41B85" w:rsidRPr="00C41B85" w:rsidRDefault="00C41B85" w:rsidP="005804A2">
      <w:pPr>
        <w:numPr>
          <w:ilvl w:val="0"/>
          <w:numId w:val="1"/>
        </w:numPr>
        <w:rPr>
          <w:rFonts w:ascii="Arial" w:hAnsi="Arial" w:cs="Arial"/>
          <w:iCs/>
          <w:szCs w:val="24"/>
        </w:rPr>
      </w:pPr>
      <w:r w:rsidRPr="00C41B85">
        <w:rPr>
          <w:rFonts w:ascii="Arial" w:hAnsi="Arial" w:cs="Arial"/>
          <w:iCs/>
          <w:szCs w:val="24"/>
        </w:rPr>
        <w:t xml:space="preserve">The rating criteria use the lowest common denominator method of selecting counterparties and applying limits.  This means that the application of the Council’s minimum criteria will apply to the lowest available rating for any </w:t>
      </w:r>
      <w:r w:rsidRPr="00C41B85">
        <w:rPr>
          <w:rFonts w:ascii="Arial" w:hAnsi="Arial" w:cs="Arial"/>
          <w:iCs/>
          <w:szCs w:val="24"/>
        </w:rPr>
        <w:lastRenderedPageBreak/>
        <w:t xml:space="preserve">institution.  For instance, if an institution is rated by two agencies, one meets the Council’s criteria, the other does not, </w:t>
      </w:r>
      <w:proofErr w:type="gramStart"/>
      <w:r w:rsidRPr="00C41B85">
        <w:rPr>
          <w:rFonts w:ascii="Arial" w:hAnsi="Arial" w:cs="Arial"/>
          <w:iCs/>
          <w:szCs w:val="24"/>
        </w:rPr>
        <w:t>the</w:t>
      </w:r>
      <w:proofErr w:type="gramEnd"/>
      <w:r w:rsidRPr="00C41B85">
        <w:rPr>
          <w:rFonts w:ascii="Arial" w:hAnsi="Arial" w:cs="Arial"/>
          <w:iCs/>
          <w:szCs w:val="24"/>
        </w:rPr>
        <w:t xml:space="preserve"> institution will fall outside the lending criteria.  This is in compliance with a CIPFA Treasury Management Panel recommendation in March 2009 and the CIPFA Treasury Management Code of Practice.</w:t>
      </w:r>
    </w:p>
    <w:p w:rsidR="00C41B85" w:rsidRPr="00C41B85" w:rsidRDefault="00C41B85" w:rsidP="005804A2">
      <w:pPr>
        <w:rPr>
          <w:rFonts w:ascii="Arial" w:hAnsi="Arial" w:cs="Arial"/>
          <w:iCs/>
          <w:szCs w:val="24"/>
        </w:rPr>
      </w:pPr>
    </w:p>
    <w:p w:rsidR="00C41B85" w:rsidRDefault="00C41B85" w:rsidP="005804A2">
      <w:pPr>
        <w:numPr>
          <w:ilvl w:val="0"/>
          <w:numId w:val="1"/>
        </w:numPr>
        <w:rPr>
          <w:rFonts w:ascii="Arial" w:hAnsi="Arial" w:cs="Arial"/>
          <w:iCs/>
          <w:szCs w:val="24"/>
        </w:rPr>
      </w:pPr>
      <w:r w:rsidRPr="00C41B85">
        <w:rPr>
          <w:rFonts w:ascii="Arial" w:hAnsi="Arial" w:cs="Arial"/>
          <w:iCs/>
          <w:szCs w:val="24"/>
        </w:rPr>
        <w:t xml:space="preserve">Credit rating information is supplied by </w:t>
      </w:r>
      <w:r w:rsidR="008B112A">
        <w:rPr>
          <w:rFonts w:ascii="Arial" w:hAnsi="Arial" w:cs="Arial"/>
          <w:iCs/>
          <w:szCs w:val="24"/>
        </w:rPr>
        <w:t>Link</w:t>
      </w:r>
      <w:r w:rsidR="00A84FD2">
        <w:rPr>
          <w:rFonts w:ascii="Arial" w:hAnsi="Arial" w:cs="Arial"/>
          <w:iCs/>
          <w:szCs w:val="24"/>
        </w:rPr>
        <w:t xml:space="preserve"> Asset Services</w:t>
      </w:r>
      <w:r w:rsidR="008B112A">
        <w:rPr>
          <w:rFonts w:ascii="Arial" w:hAnsi="Arial" w:cs="Arial"/>
          <w:iCs/>
          <w:szCs w:val="24"/>
        </w:rPr>
        <w:t>, our treasury advisors</w:t>
      </w:r>
      <w:r w:rsidRPr="00C41B85">
        <w:rPr>
          <w:rFonts w:ascii="Arial" w:hAnsi="Arial" w:cs="Arial"/>
          <w:iCs/>
          <w:szCs w:val="24"/>
        </w:rPr>
        <w:t>, on all active counterparties that comply with the criteria below.  Any counterparty failing to meet the criteria would be omitted from the counterparty (dealing) list.  Any rating changes, rating watches (notificati</w:t>
      </w:r>
      <w:r w:rsidR="008B112A">
        <w:rPr>
          <w:rFonts w:ascii="Arial" w:hAnsi="Arial" w:cs="Arial"/>
          <w:iCs/>
          <w:szCs w:val="24"/>
        </w:rPr>
        <w:t>on of a likely change), rating O</w:t>
      </w:r>
      <w:r w:rsidRPr="00C41B85">
        <w:rPr>
          <w:rFonts w:ascii="Arial" w:hAnsi="Arial" w:cs="Arial"/>
          <w:iCs/>
          <w:szCs w:val="24"/>
        </w:rPr>
        <w:t>utl</w:t>
      </w:r>
      <w:r w:rsidR="008B112A">
        <w:rPr>
          <w:rFonts w:ascii="Arial" w:hAnsi="Arial" w:cs="Arial"/>
          <w:iCs/>
          <w:szCs w:val="24"/>
        </w:rPr>
        <w:t>ooks (notification of a</w:t>
      </w:r>
      <w:r w:rsidRPr="00C41B85">
        <w:rPr>
          <w:rFonts w:ascii="Arial" w:hAnsi="Arial" w:cs="Arial"/>
          <w:iCs/>
          <w:szCs w:val="24"/>
        </w:rPr>
        <w:t xml:space="preserve"> longer term </w:t>
      </w:r>
      <w:r w:rsidR="008B112A">
        <w:rPr>
          <w:rFonts w:ascii="Arial" w:hAnsi="Arial" w:cs="Arial"/>
          <w:iCs/>
          <w:szCs w:val="24"/>
        </w:rPr>
        <w:t>bias outside the central rating view</w:t>
      </w:r>
      <w:r w:rsidRPr="00C41B85">
        <w:rPr>
          <w:rFonts w:ascii="Arial" w:hAnsi="Arial" w:cs="Arial"/>
          <w:iCs/>
          <w:szCs w:val="24"/>
        </w:rPr>
        <w:t>) are provided to officers almost immediately after they occur and this information is considered before dealing.  For instance, a neg</w:t>
      </w:r>
      <w:r w:rsidR="008B112A">
        <w:rPr>
          <w:rFonts w:ascii="Arial" w:hAnsi="Arial" w:cs="Arial"/>
          <w:iCs/>
          <w:szCs w:val="24"/>
        </w:rPr>
        <w:t>ative rating watch applying to a c</w:t>
      </w:r>
      <w:r w:rsidRPr="00C41B85">
        <w:rPr>
          <w:rFonts w:ascii="Arial" w:hAnsi="Arial" w:cs="Arial"/>
          <w:iCs/>
          <w:szCs w:val="24"/>
        </w:rPr>
        <w:t xml:space="preserve">ounterparty at the minimum Council criteria will be suspended from use, with all others being reviewed in light of market conditions. </w:t>
      </w:r>
    </w:p>
    <w:p w:rsidR="00FC5F49" w:rsidRDefault="00FC5F49" w:rsidP="005804A2">
      <w:pPr>
        <w:pStyle w:val="ListParagraph"/>
        <w:rPr>
          <w:rFonts w:ascii="Arial" w:hAnsi="Arial" w:cs="Arial"/>
          <w:iCs/>
          <w:szCs w:val="24"/>
        </w:rPr>
      </w:pPr>
    </w:p>
    <w:p w:rsidR="00FC5F49" w:rsidRPr="00C41B85" w:rsidRDefault="00FC5F49" w:rsidP="005804A2">
      <w:pPr>
        <w:numPr>
          <w:ilvl w:val="0"/>
          <w:numId w:val="1"/>
        </w:numPr>
        <w:rPr>
          <w:rFonts w:ascii="Arial" w:hAnsi="Arial" w:cs="Arial"/>
          <w:iCs/>
          <w:szCs w:val="24"/>
        </w:rPr>
      </w:pPr>
      <w:r>
        <w:rPr>
          <w:rFonts w:ascii="Arial" w:hAnsi="Arial" w:cs="Arial"/>
          <w:iCs/>
          <w:szCs w:val="24"/>
        </w:rPr>
        <w:t>Any investment in Property Funds/ Corporate Bond Funds/ Asset Backed Investment Products will be subject to due diligence for each and every fund considered. The maximum amount inv</w:t>
      </w:r>
      <w:r w:rsidR="00C74519">
        <w:rPr>
          <w:rFonts w:ascii="Arial" w:hAnsi="Arial" w:cs="Arial"/>
          <w:iCs/>
          <w:szCs w:val="24"/>
        </w:rPr>
        <w:t>ested in any one fund will be £2</w:t>
      </w:r>
      <w:r w:rsidR="00C26A65">
        <w:rPr>
          <w:rFonts w:ascii="Arial" w:hAnsi="Arial" w:cs="Arial"/>
          <w:iCs/>
          <w:szCs w:val="24"/>
        </w:rPr>
        <w:t>0million with a maximum of £50</w:t>
      </w:r>
      <w:r>
        <w:rPr>
          <w:rFonts w:ascii="Arial" w:hAnsi="Arial" w:cs="Arial"/>
          <w:iCs/>
          <w:szCs w:val="24"/>
        </w:rPr>
        <w:t>million total for all funds.</w:t>
      </w:r>
    </w:p>
    <w:p w:rsidR="00C41B85" w:rsidRPr="00C41B85" w:rsidRDefault="00C41B85" w:rsidP="005804A2">
      <w:pPr>
        <w:rPr>
          <w:rFonts w:ascii="Arial" w:hAnsi="Arial" w:cs="Arial"/>
          <w:iCs/>
          <w:szCs w:val="24"/>
        </w:rPr>
      </w:pPr>
    </w:p>
    <w:p w:rsidR="00C41B85" w:rsidRDefault="00C41B85" w:rsidP="005804A2">
      <w:pPr>
        <w:numPr>
          <w:ilvl w:val="0"/>
          <w:numId w:val="1"/>
        </w:numPr>
        <w:rPr>
          <w:rFonts w:ascii="Arial" w:hAnsi="Arial" w:cs="Arial"/>
          <w:iCs/>
          <w:szCs w:val="24"/>
        </w:rPr>
      </w:pPr>
      <w:r w:rsidRPr="00C41B85">
        <w:rPr>
          <w:rFonts w:ascii="Arial" w:hAnsi="Arial" w:cs="Arial"/>
          <w:iCs/>
          <w:szCs w:val="24"/>
        </w:rPr>
        <w:t>The criteria for providing a pool of high quality investment counterparties (both Specified and Non-specified investments) is:</w:t>
      </w:r>
    </w:p>
    <w:p w:rsidR="00BD2AD9" w:rsidRDefault="00BD2AD9" w:rsidP="005804A2">
      <w:pPr>
        <w:pStyle w:val="ListParagraph"/>
        <w:rPr>
          <w:rFonts w:ascii="Arial" w:hAnsi="Arial" w:cs="Arial"/>
          <w:iCs/>
          <w:szCs w:val="24"/>
        </w:rPr>
      </w:pPr>
    </w:p>
    <w:p w:rsidR="00C41B85" w:rsidRDefault="00BD2AD9" w:rsidP="00B6154C">
      <w:pPr>
        <w:numPr>
          <w:ilvl w:val="1"/>
          <w:numId w:val="1"/>
        </w:numPr>
        <w:rPr>
          <w:rFonts w:ascii="Arial" w:hAnsi="Arial" w:cs="Arial"/>
          <w:iCs/>
          <w:szCs w:val="24"/>
        </w:rPr>
      </w:pPr>
      <w:r w:rsidRPr="00BD2AD9">
        <w:rPr>
          <w:rFonts w:ascii="Arial" w:hAnsi="Arial" w:cs="Arial"/>
          <w:iCs/>
          <w:szCs w:val="24"/>
        </w:rPr>
        <w:t xml:space="preserve">Banks </w:t>
      </w:r>
      <w:r>
        <w:rPr>
          <w:rFonts w:ascii="Arial" w:hAnsi="Arial" w:cs="Arial"/>
          <w:iCs/>
          <w:szCs w:val="24"/>
        </w:rPr>
        <w:t>1</w:t>
      </w:r>
      <w:r w:rsidR="00C41B85" w:rsidRPr="00BD2AD9">
        <w:rPr>
          <w:rFonts w:ascii="Arial" w:hAnsi="Arial" w:cs="Arial"/>
          <w:iCs/>
          <w:szCs w:val="24"/>
        </w:rPr>
        <w:t xml:space="preserve"> - good credit quality – the Council will only use banks which:</w:t>
      </w:r>
      <w:r w:rsidR="00B6154C">
        <w:rPr>
          <w:rFonts w:ascii="Arial" w:hAnsi="Arial" w:cs="Arial"/>
          <w:iCs/>
          <w:szCs w:val="24"/>
        </w:rPr>
        <w:br/>
      </w:r>
    </w:p>
    <w:p w:rsidR="00C41B85" w:rsidRPr="00B6154C" w:rsidRDefault="00C41B85" w:rsidP="00A64380">
      <w:pPr>
        <w:numPr>
          <w:ilvl w:val="4"/>
          <w:numId w:val="1"/>
        </w:numPr>
        <w:tabs>
          <w:tab w:val="left" w:pos="1701"/>
        </w:tabs>
        <w:rPr>
          <w:rFonts w:ascii="Arial" w:hAnsi="Arial" w:cs="Arial"/>
          <w:iCs/>
          <w:szCs w:val="24"/>
        </w:rPr>
      </w:pPr>
      <w:r w:rsidRPr="00B6154C">
        <w:rPr>
          <w:rFonts w:ascii="Arial" w:hAnsi="Arial" w:cs="Arial"/>
          <w:iCs/>
          <w:szCs w:val="24"/>
        </w:rPr>
        <w:t xml:space="preserve">are UK banks; and have, as a minimum, the following Fitch, </w:t>
      </w:r>
      <w:r w:rsidR="00A64380">
        <w:rPr>
          <w:rFonts w:ascii="Arial" w:hAnsi="Arial" w:cs="Arial"/>
          <w:iCs/>
          <w:szCs w:val="24"/>
        </w:rPr>
        <w:t xml:space="preserve">    </w:t>
      </w:r>
      <w:r w:rsidRPr="00B6154C">
        <w:rPr>
          <w:rFonts w:ascii="Arial" w:hAnsi="Arial" w:cs="Arial"/>
          <w:iCs/>
          <w:szCs w:val="24"/>
        </w:rPr>
        <w:t xml:space="preserve">Moody’s and Standard and </w:t>
      </w:r>
      <w:proofErr w:type="spellStart"/>
      <w:r w:rsidRPr="00B6154C">
        <w:rPr>
          <w:rFonts w:ascii="Arial" w:hAnsi="Arial" w:cs="Arial"/>
          <w:iCs/>
          <w:szCs w:val="24"/>
        </w:rPr>
        <w:t>Poors</w:t>
      </w:r>
      <w:proofErr w:type="spellEnd"/>
      <w:r w:rsidRPr="00B6154C">
        <w:rPr>
          <w:rFonts w:ascii="Arial" w:hAnsi="Arial" w:cs="Arial"/>
          <w:iCs/>
          <w:szCs w:val="24"/>
        </w:rPr>
        <w:t xml:space="preserve"> credit ratings (where rated):</w:t>
      </w:r>
    </w:p>
    <w:p w:rsidR="00C41B85" w:rsidRPr="00B6154C" w:rsidRDefault="00474B42" w:rsidP="00A64380">
      <w:pPr>
        <w:numPr>
          <w:ilvl w:val="4"/>
          <w:numId w:val="1"/>
        </w:numPr>
        <w:rPr>
          <w:rFonts w:ascii="Arial" w:hAnsi="Arial" w:cs="Arial"/>
          <w:iCs/>
          <w:szCs w:val="24"/>
        </w:rPr>
      </w:pPr>
      <w:r w:rsidRPr="00B6154C">
        <w:rPr>
          <w:rFonts w:ascii="Arial" w:hAnsi="Arial" w:cs="Arial"/>
          <w:iCs/>
        </w:rPr>
        <w:t>Fitch Short Term equivalent</w:t>
      </w:r>
      <w:r w:rsidR="00C41B85" w:rsidRPr="00B6154C">
        <w:rPr>
          <w:rFonts w:ascii="Arial" w:hAnsi="Arial" w:cs="Arial"/>
          <w:iCs/>
        </w:rPr>
        <w:t xml:space="preserve"> – F1</w:t>
      </w:r>
    </w:p>
    <w:p w:rsidR="00C41B85" w:rsidRPr="00B6154C" w:rsidRDefault="00474B42" w:rsidP="00A64380">
      <w:pPr>
        <w:numPr>
          <w:ilvl w:val="4"/>
          <w:numId w:val="1"/>
        </w:numPr>
        <w:rPr>
          <w:rFonts w:ascii="Arial" w:hAnsi="Arial" w:cs="Arial"/>
          <w:iCs/>
        </w:rPr>
      </w:pPr>
      <w:r w:rsidRPr="00B6154C">
        <w:rPr>
          <w:rFonts w:ascii="Arial" w:hAnsi="Arial" w:cs="Arial"/>
          <w:iCs/>
        </w:rPr>
        <w:t xml:space="preserve">Fitch </w:t>
      </w:r>
      <w:r w:rsidR="00C41B85" w:rsidRPr="00B6154C">
        <w:rPr>
          <w:rFonts w:ascii="Arial" w:hAnsi="Arial" w:cs="Arial"/>
          <w:iCs/>
        </w:rPr>
        <w:t>Long term</w:t>
      </w:r>
      <w:r w:rsidRPr="00B6154C">
        <w:rPr>
          <w:rFonts w:ascii="Arial" w:hAnsi="Arial" w:cs="Arial"/>
          <w:iCs/>
        </w:rPr>
        <w:t xml:space="preserve"> equivalent</w:t>
      </w:r>
      <w:r w:rsidR="00C41B85" w:rsidRPr="00B6154C">
        <w:rPr>
          <w:rFonts w:ascii="Arial" w:hAnsi="Arial" w:cs="Arial"/>
          <w:iCs/>
        </w:rPr>
        <w:t xml:space="preserve"> – A-</w:t>
      </w:r>
      <w:r w:rsidR="00B6154C">
        <w:rPr>
          <w:rFonts w:ascii="Arial" w:hAnsi="Arial" w:cs="Arial"/>
          <w:iCs/>
        </w:rPr>
        <w:br/>
      </w:r>
    </w:p>
    <w:p w:rsidR="00BD2AD9" w:rsidRPr="00B6154C" w:rsidRDefault="00BD2AD9" w:rsidP="00B6154C">
      <w:pPr>
        <w:numPr>
          <w:ilvl w:val="1"/>
          <w:numId w:val="1"/>
        </w:numPr>
        <w:rPr>
          <w:rFonts w:ascii="Arial" w:hAnsi="Arial" w:cs="Arial"/>
          <w:iCs/>
          <w:szCs w:val="24"/>
        </w:rPr>
      </w:pPr>
      <w:r w:rsidRPr="00B6154C">
        <w:rPr>
          <w:rFonts w:ascii="Arial" w:hAnsi="Arial" w:cs="Arial"/>
          <w:iCs/>
          <w:szCs w:val="24"/>
        </w:rPr>
        <w:t>Banks 2</w:t>
      </w:r>
      <w:r w:rsidR="00C97A19">
        <w:rPr>
          <w:rFonts w:ascii="Arial" w:hAnsi="Arial" w:cs="Arial"/>
          <w:iCs/>
          <w:szCs w:val="24"/>
        </w:rPr>
        <w:t xml:space="preserve"> - </w:t>
      </w:r>
      <w:r w:rsidRPr="00B6154C">
        <w:rPr>
          <w:rFonts w:ascii="Arial" w:hAnsi="Arial" w:cs="Arial"/>
          <w:iCs/>
          <w:szCs w:val="24"/>
        </w:rPr>
        <w:t xml:space="preserve">Non UK banks based on the following </w:t>
      </w:r>
      <w:r w:rsidRPr="00B6154C">
        <w:rPr>
          <w:rFonts w:ascii="Arial" w:hAnsi="Arial" w:cs="Arial"/>
          <w:iCs/>
          <w:szCs w:val="24"/>
          <w:u w:val="single"/>
        </w:rPr>
        <w:t>very high quality</w:t>
      </w:r>
      <w:r w:rsidRPr="00B6154C">
        <w:rPr>
          <w:rFonts w:ascii="Arial" w:hAnsi="Arial" w:cs="Arial"/>
          <w:iCs/>
          <w:szCs w:val="24"/>
        </w:rPr>
        <w:t xml:space="preserve"> criteria using a lowest common denominator approach and </w:t>
      </w:r>
      <w:r w:rsidRPr="00495BF7">
        <w:rPr>
          <w:rFonts w:ascii="Arial" w:hAnsi="Arial" w:cs="Arial"/>
          <w:iCs/>
          <w:szCs w:val="24"/>
          <w:u w:val="single"/>
        </w:rPr>
        <w:t>only</w:t>
      </w:r>
      <w:r w:rsidRPr="00B6154C">
        <w:rPr>
          <w:rFonts w:ascii="Arial" w:hAnsi="Arial" w:cs="Arial"/>
          <w:iCs/>
          <w:szCs w:val="24"/>
        </w:rPr>
        <w:t xml:space="preserve"> </w:t>
      </w:r>
      <w:r w:rsidR="00495BF7">
        <w:rPr>
          <w:rFonts w:ascii="Arial" w:hAnsi="Arial" w:cs="Arial"/>
          <w:iCs/>
          <w:szCs w:val="24"/>
        </w:rPr>
        <w:t>where sovereign ratings are AAA</w:t>
      </w:r>
      <w:r w:rsidRPr="00B6154C">
        <w:rPr>
          <w:rFonts w:ascii="Arial" w:hAnsi="Arial" w:cs="Arial"/>
          <w:iCs/>
          <w:szCs w:val="24"/>
        </w:rPr>
        <w:t>.</w:t>
      </w:r>
      <w:r w:rsidR="00B6154C" w:rsidRPr="00B6154C">
        <w:rPr>
          <w:rFonts w:ascii="Arial" w:hAnsi="Arial" w:cs="Arial"/>
          <w:iCs/>
          <w:szCs w:val="24"/>
        </w:rPr>
        <w:br/>
      </w:r>
    </w:p>
    <w:p w:rsidR="00B6154C" w:rsidRPr="00B6154C" w:rsidRDefault="00BD2AD9" w:rsidP="00A64380">
      <w:pPr>
        <w:numPr>
          <w:ilvl w:val="4"/>
          <w:numId w:val="1"/>
        </w:numPr>
        <w:rPr>
          <w:rFonts w:ascii="Arial" w:hAnsi="Arial" w:cs="Arial"/>
          <w:iCs/>
          <w:szCs w:val="24"/>
        </w:rPr>
      </w:pPr>
      <w:r w:rsidRPr="00B6154C">
        <w:rPr>
          <w:rFonts w:ascii="Arial" w:hAnsi="Arial" w:cs="Arial"/>
          <w:iCs/>
        </w:rPr>
        <w:t>Fitch Short Term equivalent – F1+</w:t>
      </w:r>
    </w:p>
    <w:p w:rsidR="00BD2AD9" w:rsidRPr="00B6154C" w:rsidRDefault="00BD2AD9" w:rsidP="00A64380">
      <w:pPr>
        <w:numPr>
          <w:ilvl w:val="4"/>
          <w:numId w:val="1"/>
        </w:numPr>
        <w:rPr>
          <w:rFonts w:ascii="Arial" w:hAnsi="Arial" w:cs="Arial"/>
          <w:iCs/>
          <w:szCs w:val="24"/>
        </w:rPr>
      </w:pPr>
      <w:r w:rsidRPr="00B6154C">
        <w:rPr>
          <w:rFonts w:ascii="Arial" w:hAnsi="Arial" w:cs="Arial"/>
          <w:iCs/>
        </w:rPr>
        <w:t>Fitch Long Term equivalent – AA-</w:t>
      </w:r>
    </w:p>
    <w:p w:rsidR="007A4699" w:rsidRPr="00B6154C" w:rsidRDefault="007A4699" w:rsidP="005804A2">
      <w:pPr>
        <w:pStyle w:val="BodyText2"/>
        <w:ind w:left="2434"/>
        <w:jc w:val="both"/>
        <w:rPr>
          <w:rFonts w:cs="Arial"/>
          <w:iCs/>
          <w:color w:val="auto"/>
          <w:sz w:val="24"/>
        </w:rPr>
      </w:pPr>
    </w:p>
    <w:p w:rsidR="00C41B85" w:rsidRPr="00C41B85" w:rsidRDefault="00BD2AD9" w:rsidP="00B6154C">
      <w:pPr>
        <w:numPr>
          <w:ilvl w:val="1"/>
          <w:numId w:val="1"/>
        </w:numPr>
        <w:rPr>
          <w:rFonts w:ascii="Arial" w:hAnsi="Arial" w:cs="Arial"/>
          <w:iCs/>
          <w:szCs w:val="24"/>
        </w:rPr>
      </w:pPr>
      <w:r>
        <w:rPr>
          <w:rFonts w:ascii="Arial" w:hAnsi="Arial" w:cs="Arial"/>
          <w:iCs/>
          <w:szCs w:val="24"/>
        </w:rPr>
        <w:t>Banks 3</w:t>
      </w:r>
      <w:r w:rsidR="00C41B85" w:rsidRPr="00C41B85">
        <w:rPr>
          <w:rFonts w:ascii="Arial" w:hAnsi="Arial" w:cs="Arial"/>
          <w:iCs/>
          <w:szCs w:val="24"/>
        </w:rPr>
        <w:t xml:space="preserve"> – Part nationalised UK banks – Royal Bank of Scotland. Th</w:t>
      </w:r>
      <w:r w:rsidR="00776A17">
        <w:rPr>
          <w:rFonts w:ascii="Arial" w:hAnsi="Arial" w:cs="Arial"/>
          <w:iCs/>
          <w:szCs w:val="24"/>
        </w:rPr>
        <w:t>is</w:t>
      </w:r>
      <w:r w:rsidR="00C41B85" w:rsidRPr="00C41B85">
        <w:rPr>
          <w:rFonts w:ascii="Arial" w:hAnsi="Arial" w:cs="Arial"/>
          <w:iCs/>
          <w:szCs w:val="24"/>
        </w:rPr>
        <w:t xml:space="preserve"> bank can be included if </w:t>
      </w:r>
      <w:r w:rsidR="00776A17">
        <w:rPr>
          <w:rFonts w:ascii="Arial" w:hAnsi="Arial" w:cs="Arial"/>
          <w:iCs/>
          <w:szCs w:val="24"/>
        </w:rPr>
        <w:t>i</w:t>
      </w:r>
      <w:r w:rsidR="00C41B85" w:rsidRPr="00C41B85">
        <w:rPr>
          <w:rFonts w:ascii="Arial" w:hAnsi="Arial" w:cs="Arial"/>
          <w:iCs/>
          <w:szCs w:val="24"/>
        </w:rPr>
        <w:t>t continue</w:t>
      </w:r>
      <w:r w:rsidR="00776A17">
        <w:rPr>
          <w:rFonts w:ascii="Arial" w:hAnsi="Arial" w:cs="Arial"/>
          <w:iCs/>
          <w:szCs w:val="24"/>
        </w:rPr>
        <w:t>s</w:t>
      </w:r>
      <w:r w:rsidR="00C41B85" w:rsidRPr="00C41B85">
        <w:rPr>
          <w:rFonts w:ascii="Arial" w:hAnsi="Arial" w:cs="Arial"/>
          <w:iCs/>
          <w:szCs w:val="24"/>
        </w:rPr>
        <w:t xml:space="preserve"> to be part nationalised or </w:t>
      </w:r>
      <w:r w:rsidR="009700D0">
        <w:rPr>
          <w:rFonts w:ascii="Arial" w:hAnsi="Arial" w:cs="Arial"/>
          <w:iCs/>
          <w:szCs w:val="24"/>
        </w:rPr>
        <w:t>i</w:t>
      </w:r>
      <w:r w:rsidR="00C41B85" w:rsidRPr="00C41B85">
        <w:rPr>
          <w:rFonts w:ascii="Arial" w:hAnsi="Arial" w:cs="Arial"/>
          <w:iCs/>
          <w:szCs w:val="24"/>
        </w:rPr>
        <w:t>t meet</w:t>
      </w:r>
      <w:r w:rsidR="009700D0">
        <w:rPr>
          <w:rFonts w:ascii="Arial" w:hAnsi="Arial" w:cs="Arial"/>
          <w:iCs/>
          <w:szCs w:val="24"/>
        </w:rPr>
        <w:t>s</w:t>
      </w:r>
      <w:r w:rsidR="00C41B85" w:rsidRPr="00C41B85">
        <w:rPr>
          <w:rFonts w:ascii="Arial" w:hAnsi="Arial" w:cs="Arial"/>
          <w:iCs/>
          <w:szCs w:val="24"/>
        </w:rPr>
        <w:t xml:space="preserve"> the ratings in Banks 1 above.</w:t>
      </w:r>
      <w:r w:rsidR="002D384D">
        <w:rPr>
          <w:rFonts w:ascii="Arial" w:hAnsi="Arial" w:cs="Arial"/>
          <w:iCs/>
          <w:szCs w:val="24"/>
        </w:rPr>
        <w:br/>
      </w:r>
    </w:p>
    <w:p w:rsidR="00C41B85" w:rsidRPr="00C41B85" w:rsidRDefault="00BD2AD9" w:rsidP="00B6154C">
      <w:pPr>
        <w:numPr>
          <w:ilvl w:val="1"/>
          <w:numId w:val="1"/>
        </w:numPr>
        <w:rPr>
          <w:rFonts w:ascii="Arial" w:hAnsi="Arial" w:cs="Arial"/>
          <w:iCs/>
          <w:szCs w:val="24"/>
        </w:rPr>
      </w:pPr>
      <w:r>
        <w:rPr>
          <w:rFonts w:ascii="Arial" w:hAnsi="Arial" w:cs="Arial"/>
          <w:iCs/>
          <w:szCs w:val="24"/>
        </w:rPr>
        <w:t>Banks 4</w:t>
      </w:r>
      <w:r w:rsidR="00C41B85" w:rsidRPr="00C41B85">
        <w:rPr>
          <w:rFonts w:ascii="Arial" w:hAnsi="Arial" w:cs="Arial"/>
          <w:iCs/>
          <w:szCs w:val="24"/>
        </w:rPr>
        <w:t xml:space="preserve"> – The Council’s own banker for transactional purposes if the bank falls below the above criteria, although in this case balances will be minimised in both monetary size and time.</w:t>
      </w:r>
      <w:r w:rsidR="002D384D">
        <w:rPr>
          <w:rFonts w:ascii="Arial" w:hAnsi="Arial" w:cs="Arial"/>
          <w:iCs/>
          <w:szCs w:val="24"/>
        </w:rPr>
        <w:br/>
      </w:r>
    </w:p>
    <w:p w:rsidR="00C41B85" w:rsidRPr="00077837" w:rsidRDefault="00C41B85" w:rsidP="00B6154C">
      <w:pPr>
        <w:numPr>
          <w:ilvl w:val="1"/>
          <w:numId w:val="1"/>
        </w:numPr>
        <w:rPr>
          <w:rFonts w:ascii="Arial" w:hAnsi="Arial" w:cs="Arial"/>
          <w:iCs/>
          <w:szCs w:val="24"/>
        </w:rPr>
      </w:pPr>
      <w:r w:rsidRPr="00C41B85">
        <w:rPr>
          <w:rFonts w:ascii="Arial" w:hAnsi="Arial" w:cs="Arial"/>
          <w:iCs/>
          <w:szCs w:val="24"/>
        </w:rPr>
        <w:t xml:space="preserve">Building societies </w:t>
      </w:r>
      <w:r w:rsidR="00200E7B">
        <w:rPr>
          <w:rFonts w:ascii="Arial" w:hAnsi="Arial" w:cs="Arial"/>
          <w:iCs/>
          <w:szCs w:val="24"/>
        </w:rPr>
        <w:t>-</w:t>
      </w:r>
      <w:r w:rsidRPr="00077837">
        <w:rPr>
          <w:rFonts w:ascii="Arial" w:hAnsi="Arial" w:cs="Arial"/>
          <w:iCs/>
          <w:szCs w:val="24"/>
        </w:rPr>
        <w:t>The Counc</w:t>
      </w:r>
      <w:r w:rsidR="008A7784">
        <w:rPr>
          <w:rFonts w:ascii="Arial" w:hAnsi="Arial" w:cs="Arial"/>
          <w:iCs/>
          <w:szCs w:val="24"/>
        </w:rPr>
        <w:t xml:space="preserve">il will use all societies which meet the ratings for the bank outlined above and have assets in excess of </w:t>
      </w:r>
      <w:r w:rsidR="008A7784">
        <w:rPr>
          <w:rFonts w:ascii="Arial" w:hAnsi="Arial" w:cs="Arial"/>
          <w:iCs/>
          <w:szCs w:val="24"/>
        </w:rPr>
        <w:lastRenderedPageBreak/>
        <w:t>£1,000</w:t>
      </w:r>
      <w:r w:rsidR="00C97A19">
        <w:rPr>
          <w:rFonts w:ascii="Arial" w:hAnsi="Arial" w:cs="Arial"/>
          <w:iCs/>
          <w:szCs w:val="24"/>
        </w:rPr>
        <w:t>m.</w:t>
      </w:r>
      <w:r w:rsidR="002D384D">
        <w:rPr>
          <w:rFonts w:ascii="Arial" w:hAnsi="Arial" w:cs="Arial"/>
          <w:iCs/>
          <w:szCs w:val="24"/>
        </w:rPr>
        <w:br/>
      </w:r>
    </w:p>
    <w:p w:rsidR="00474B42" w:rsidRDefault="00BE3F71" w:rsidP="00B6154C">
      <w:pPr>
        <w:numPr>
          <w:ilvl w:val="1"/>
          <w:numId w:val="1"/>
        </w:numPr>
        <w:rPr>
          <w:rFonts w:ascii="Arial" w:hAnsi="Arial" w:cs="Arial"/>
          <w:iCs/>
          <w:szCs w:val="24"/>
        </w:rPr>
      </w:pPr>
      <w:r w:rsidRPr="002C26D7">
        <w:rPr>
          <w:rFonts w:ascii="Arial" w:hAnsi="Arial" w:cs="Arial"/>
          <w:iCs/>
          <w:szCs w:val="24"/>
        </w:rPr>
        <w:t>Money Market Funds</w:t>
      </w:r>
      <w:r w:rsidR="00DB1DED" w:rsidRPr="002C26D7">
        <w:rPr>
          <w:rFonts w:ascii="Arial" w:hAnsi="Arial" w:cs="Arial"/>
          <w:iCs/>
          <w:szCs w:val="24"/>
        </w:rPr>
        <w:t xml:space="preserve"> (MMFs)</w:t>
      </w:r>
      <w:r w:rsidRPr="002C26D7">
        <w:rPr>
          <w:rFonts w:ascii="Arial" w:hAnsi="Arial" w:cs="Arial"/>
          <w:iCs/>
          <w:szCs w:val="24"/>
        </w:rPr>
        <w:t xml:space="preserve"> </w:t>
      </w:r>
      <w:r w:rsidR="009C1423">
        <w:rPr>
          <w:rFonts w:ascii="Arial" w:hAnsi="Arial" w:cs="Arial"/>
          <w:iCs/>
          <w:szCs w:val="24"/>
        </w:rPr>
        <w:t>CNAV</w:t>
      </w:r>
      <w:r w:rsidRPr="002C26D7">
        <w:rPr>
          <w:rFonts w:ascii="Arial" w:hAnsi="Arial" w:cs="Arial"/>
          <w:iCs/>
          <w:szCs w:val="24"/>
        </w:rPr>
        <w:t xml:space="preserve"> </w:t>
      </w:r>
      <w:r w:rsidR="00C41B85" w:rsidRPr="002C26D7">
        <w:rPr>
          <w:rFonts w:ascii="Arial" w:hAnsi="Arial" w:cs="Arial"/>
          <w:iCs/>
          <w:szCs w:val="24"/>
        </w:rPr>
        <w:t xml:space="preserve"> </w:t>
      </w:r>
      <w:r w:rsidR="009C1423">
        <w:rPr>
          <w:rFonts w:ascii="Arial" w:hAnsi="Arial" w:cs="Arial"/>
          <w:iCs/>
          <w:szCs w:val="24"/>
        </w:rPr>
        <w:tab/>
      </w:r>
      <w:r w:rsidR="00C41B85" w:rsidRPr="002C26D7">
        <w:rPr>
          <w:rFonts w:ascii="Arial" w:hAnsi="Arial" w:cs="Arial"/>
          <w:iCs/>
          <w:szCs w:val="24"/>
        </w:rPr>
        <w:t>AAA</w:t>
      </w:r>
    </w:p>
    <w:p w:rsidR="009C1423" w:rsidRDefault="009C1423" w:rsidP="00B6154C">
      <w:pPr>
        <w:numPr>
          <w:ilvl w:val="1"/>
          <w:numId w:val="1"/>
        </w:numPr>
        <w:rPr>
          <w:rFonts w:ascii="Arial" w:hAnsi="Arial" w:cs="Arial"/>
          <w:iCs/>
          <w:szCs w:val="24"/>
        </w:rPr>
      </w:pPr>
      <w:r>
        <w:rPr>
          <w:rFonts w:ascii="Arial" w:hAnsi="Arial" w:cs="Arial"/>
          <w:iCs/>
          <w:szCs w:val="24"/>
        </w:rPr>
        <w:t>Money Market Funds (MMF’s) LNVAV</w:t>
      </w:r>
      <w:r>
        <w:rPr>
          <w:rFonts w:ascii="Arial" w:hAnsi="Arial" w:cs="Arial"/>
          <w:iCs/>
          <w:szCs w:val="24"/>
        </w:rPr>
        <w:tab/>
      </w:r>
      <w:r w:rsidR="00B72D5E">
        <w:rPr>
          <w:rFonts w:ascii="Arial" w:hAnsi="Arial" w:cs="Arial"/>
          <w:iCs/>
          <w:szCs w:val="24"/>
        </w:rPr>
        <w:t>AAA</w:t>
      </w:r>
    </w:p>
    <w:p w:rsidR="009C1423" w:rsidRPr="002C26D7" w:rsidRDefault="00B72D5E" w:rsidP="00B6154C">
      <w:pPr>
        <w:numPr>
          <w:ilvl w:val="1"/>
          <w:numId w:val="1"/>
        </w:numPr>
        <w:rPr>
          <w:rFonts w:ascii="Arial" w:hAnsi="Arial" w:cs="Arial"/>
          <w:iCs/>
          <w:szCs w:val="24"/>
        </w:rPr>
      </w:pPr>
      <w:r>
        <w:rPr>
          <w:rFonts w:ascii="Arial" w:hAnsi="Arial" w:cs="Arial"/>
          <w:iCs/>
          <w:szCs w:val="24"/>
        </w:rPr>
        <w:t>Money Market Funds (MMF’s) VNAV</w:t>
      </w:r>
      <w:r>
        <w:rPr>
          <w:rFonts w:ascii="Arial" w:hAnsi="Arial" w:cs="Arial"/>
          <w:iCs/>
          <w:szCs w:val="24"/>
        </w:rPr>
        <w:tab/>
        <w:t>AAA</w:t>
      </w:r>
    </w:p>
    <w:p w:rsidR="00474B42" w:rsidRPr="002C26D7" w:rsidRDefault="00474B42" w:rsidP="005804A2">
      <w:pPr>
        <w:ind w:left="454"/>
        <w:rPr>
          <w:rFonts w:ascii="Arial" w:hAnsi="Arial" w:cs="Arial"/>
          <w:iCs/>
          <w:szCs w:val="24"/>
        </w:rPr>
      </w:pPr>
    </w:p>
    <w:p w:rsidR="00C41B85" w:rsidRPr="002C26D7" w:rsidRDefault="002C26D7" w:rsidP="00B6154C">
      <w:pPr>
        <w:numPr>
          <w:ilvl w:val="1"/>
          <w:numId w:val="1"/>
        </w:numPr>
        <w:rPr>
          <w:rFonts w:ascii="Arial" w:hAnsi="Arial" w:cs="Arial"/>
          <w:iCs/>
          <w:szCs w:val="24"/>
        </w:rPr>
      </w:pPr>
      <w:r w:rsidRPr="002C26D7">
        <w:rPr>
          <w:rFonts w:ascii="Arial" w:hAnsi="Arial" w:cs="Arial"/>
          <w:iCs/>
          <w:szCs w:val="24"/>
        </w:rPr>
        <w:t>Ultra</w:t>
      </w:r>
      <w:r w:rsidR="009C1423">
        <w:rPr>
          <w:rFonts w:ascii="Arial" w:hAnsi="Arial" w:cs="Arial"/>
          <w:iCs/>
          <w:szCs w:val="24"/>
        </w:rPr>
        <w:t>-</w:t>
      </w:r>
      <w:r w:rsidRPr="002C26D7">
        <w:rPr>
          <w:rFonts w:ascii="Arial" w:hAnsi="Arial" w:cs="Arial"/>
          <w:iCs/>
          <w:szCs w:val="24"/>
        </w:rPr>
        <w:t>Short Dated Bond Funds</w:t>
      </w:r>
      <w:r w:rsidR="00BE3F71" w:rsidRPr="002C26D7">
        <w:rPr>
          <w:rFonts w:ascii="Arial" w:hAnsi="Arial" w:cs="Arial"/>
          <w:iCs/>
          <w:szCs w:val="24"/>
        </w:rPr>
        <w:t xml:space="preserve"> </w:t>
      </w:r>
      <w:r w:rsidR="00474B42" w:rsidRPr="002C26D7">
        <w:rPr>
          <w:rFonts w:ascii="Arial" w:hAnsi="Arial" w:cs="Arial"/>
          <w:iCs/>
          <w:szCs w:val="24"/>
        </w:rPr>
        <w:t xml:space="preserve"> AAA</w:t>
      </w:r>
      <w:r w:rsidR="002D384D" w:rsidRPr="002C26D7">
        <w:rPr>
          <w:rFonts w:ascii="Arial" w:hAnsi="Arial" w:cs="Arial"/>
          <w:iCs/>
          <w:szCs w:val="24"/>
        </w:rPr>
        <w:br/>
      </w:r>
    </w:p>
    <w:p w:rsidR="00C41B85" w:rsidRPr="00C41B85" w:rsidRDefault="00C41B85" w:rsidP="00B6154C">
      <w:pPr>
        <w:numPr>
          <w:ilvl w:val="1"/>
          <w:numId w:val="1"/>
        </w:numPr>
        <w:rPr>
          <w:rFonts w:ascii="Arial" w:hAnsi="Arial" w:cs="Arial"/>
          <w:iCs/>
          <w:szCs w:val="24"/>
        </w:rPr>
      </w:pPr>
      <w:r w:rsidRPr="00C41B85">
        <w:rPr>
          <w:rFonts w:ascii="Arial" w:hAnsi="Arial" w:cs="Arial"/>
          <w:iCs/>
          <w:szCs w:val="24"/>
        </w:rPr>
        <w:t>UK Government (including gilts</w:t>
      </w:r>
      <w:r w:rsidR="00C97A19">
        <w:rPr>
          <w:rFonts w:ascii="Arial" w:hAnsi="Arial" w:cs="Arial"/>
          <w:iCs/>
          <w:szCs w:val="24"/>
        </w:rPr>
        <w:t>,</w:t>
      </w:r>
      <w:r w:rsidRPr="00C41B85">
        <w:rPr>
          <w:rFonts w:ascii="Arial" w:hAnsi="Arial" w:cs="Arial"/>
          <w:iCs/>
          <w:szCs w:val="24"/>
        </w:rPr>
        <w:t xml:space="preserve"> Treasury Bills and the D</w:t>
      </w:r>
      <w:r w:rsidR="0094462D">
        <w:rPr>
          <w:rFonts w:ascii="Arial" w:hAnsi="Arial" w:cs="Arial"/>
          <w:iCs/>
          <w:szCs w:val="24"/>
        </w:rPr>
        <w:t>ebt Management Office</w:t>
      </w:r>
      <w:r w:rsidRPr="00C41B85">
        <w:rPr>
          <w:rFonts w:ascii="Arial" w:hAnsi="Arial" w:cs="Arial"/>
          <w:iCs/>
          <w:szCs w:val="24"/>
        </w:rPr>
        <w:t>)</w:t>
      </w:r>
      <w:r w:rsidR="002D384D">
        <w:rPr>
          <w:rFonts w:ascii="Arial" w:hAnsi="Arial" w:cs="Arial"/>
          <w:iCs/>
          <w:szCs w:val="24"/>
        </w:rPr>
        <w:br/>
      </w:r>
    </w:p>
    <w:p w:rsidR="00C41B85" w:rsidRPr="00C41B85" w:rsidRDefault="00C41B85" w:rsidP="00B6154C">
      <w:pPr>
        <w:numPr>
          <w:ilvl w:val="1"/>
          <w:numId w:val="1"/>
        </w:numPr>
        <w:rPr>
          <w:rFonts w:ascii="Arial" w:hAnsi="Arial" w:cs="Arial"/>
          <w:iCs/>
          <w:szCs w:val="24"/>
        </w:rPr>
      </w:pPr>
      <w:r w:rsidRPr="00C41B85">
        <w:rPr>
          <w:rFonts w:ascii="Arial" w:hAnsi="Arial" w:cs="Arial"/>
          <w:iCs/>
          <w:szCs w:val="24"/>
        </w:rPr>
        <w:t xml:space="preserve">Local authorities, parish councils </w:t>
      </w:r>
      <w:proofErr w:type="spellStart"/>
      <w:r w:rsidRPr="00C41B85">
        <w:rPr>
          <w:rFonts w:ascii="Arial" w:hAnsi="Arial" w:cs="Arial"/>
          <w:iCs/>
          <w:szCs w:val="24"/>
        </w:rPr>
        <w:t>etc</w:t>
      </w:r>
      <w:proofErr w:type="spellEnd"/>
      <w:r w:rsidR="002D384D">
        <w:rPr>
          <w:rFonts w:ascii="Arial" w:hAnsi="Arial" w:cs="Arial"/>
          <w:iCs/>
          <w:szCs w:val="24"/>
        </w:rPr>
        <w:br/>
      </w:r>
    </w:p>
    <w:p w:rsidR="004D0531" w:rsidRDefault="00C41B85" w:rsidP="00B6154C">
      <w:pPr>
        <w:numPr>
          <w:ilvl w:val="1"/>
          <w:numId w:val="1"/>
        </w:numPr>
        <w:rPr>
          <w:rFonts w:ascii="Arial" w:hAnsi="Arial" w:cs="Arial"/>
          <w:iCs/>
          <w:szCs w:val="24"/>
        </w:rPr>
      </w:pPr>
      <w:r w:rsidRPr="00EC7E9F">
        <w:rPr>
          <w:rFonts w:ascii="Arial" w:hAnsi="Arial" w:cs="Arial"/>
          <w:iCs/>
          <w:szCs w:val="24"/>
        </w:rPr>
        <w:t>Supranational institutions</w:t>
      </w:r>
    </w:p>
    <w:p w:rsidR="00130081" w:rsidRDefault="00130081" w:rsidP="00130081">
      <w:pPr>
        <w:ind w:left="1447"/>
        <w:rPr>
          <w:rFonts w:ascii="Arial" w:hAnsi="Arial" w:cs="Arial"/>
          <w:iCs/>
          <w:szCs w:val="24"/>
        </w:rPr>
      </w:pPr>
    </w:p>
    <w:p w:rsidR="00130081" w:rsidRDefault="00130081" w:rsidP="00B6154C">
      <w:pPr>
        <w:numPr>
          <w:ilvl w:val="1"/>
          <w:numId w:val="1"/>
        </w:numPr>
        <w:rPr>
          <w:rFonts w:ascii="Arial" w:hAnsi="Arial" w:cs="Arial"/>
          <w:iCs/>
          <w:szCs w:val="24"/>
        </w:rPr>
      </w:pPr>
      <w:r>
        <w:rPr>
          <w:rFonts w:ascii="Arial" w:hAnsi="Arial" w:cs="Arial"/>
          <w:iCs/>
          <w:szCs w:val="24"/>
        </w:rPr>
        <w:t>Housing associations</w:t>
      </w:r>
    </w:p>
    <w:p w:rsidR="00DB1DED" w:rsidRDefault="00DB1DED" w:rsidP="005804A2">
      <w:pPr>
        <w:ind w:left="2252"/>
        <w:rPr>
          <w:rFonts w:ascii="Arial" w:hAnsi="Arial" w:cs="Arial"/>
          <w:iCs/>
          <w:szCs w:val="24"/>
        </w:rPr>
      </w:pPr>
    </w:p>
    <w:p w:rsidR="00DB1DED" w:rsidRPr="00EC7E9F" w:rsidRDefault="00F77959" w:rsidP="00B6154C">
      <w:pPr>
        <w:numPr>
          <w:ilvl w:val="1"/>
          <w:numId w:val="1"/>
        </w:numPr>
        <w:rPr>
          <w:rFonts w:ascii="Arial" w:hAnsi="Arial" w:cs="Arial"/>
          <w:iCs/>
          <w:szCs w:val="24"/>
        </w:rPr>
      </w:pPr>
      <w:r>
        <w:rPr>
          <w:rFonts w:ascii="Arial" w:hAnsi="Arial" w:cs="Arial"/>
          <w:iCs/>
          <w:szCs w:val="24"/>
        </w:rPr>
        <w:t>Property Funds,</w:t>
      </w:r>
      <w:r w:rsidR="00C97A19">
        <w:rPr>
          <w:rFonts w:ascii="Arial" w:hAnsi="Arial" w:cs="Arial"/>
          <w:iCs/>
          <w:szCs w:val="24"/>
        </w:rPr>
        <w:t xml:space="preserve"> </w:t>
      </w:r>
      <w:r w:rsidR="00DB1DED">
        <w:rPr>
          <w:rFonts w:ascii="Arial" w:hAnsi="Arial" w:cs="Arial"/>
          <w:iCs/>
          <w:szCs w:val="24"/>
        </w:rPr>
        <w:t>Corporate Bond Funds</w:t>
      </w:r>
      <w:r>
        <w:rPr>
          <w:rFonts w:ascii="Arial" w:hAnsi="Arial" w:cs="Arial"/>
          <w:iCs/>
          <w:szCs w:val="24"/>
        </w:rPr>
        <w:t xml:space="preserve"> and Asset Backed Investment Products</w:t>
      </w:r>
      <w:r w:rsidR="00C97A19">
        <w:rPr>
          <w:rFonts w:ascii="Arial" w:hAnsi="Arial" w:cs="Arial"/>
          <w:iCs/>
          <w:szCs w:val="24"/>
        </w:rPr>
        <w:t>.</w:t>
      </w:r>
    </w:p>
    <w:p w:rsidR="00985F3E" w:rsidRPr="00C41B85" w:rsidRDefault="00985F3E" w:rsidP="005804A2">
      <w:pPr>
        <w:ind w:left="454"/>
        <w:rPr>
          <w:rFonts w:ascii="Arial" w:hAnsi="Arial" w:cs="Arial"/>
          <w:iCs/>
          <w:szCs w:val="24"/>
        </w:rPr>
      </w:pPr>
    </w:p>
    <w:p w:rsidR="00C41B85" w:rsidRDefault="00C41B85" w:rsidP="005804A2">
      <w:pPr>
        <w:numPr>
          <w:ilvl w:val="0"/>
          <w:numId w:val="1"/>
        </w:numPr>
        <w:rPr>
          <w:rFonts w:ascii="Arial" w:hAnsi="Arial" w:cs="Arial"/>
          <w:szCs w:val="24"/>
        </w:rPr>
      </w:pPr>
      <w:r w:rsidRPr="009A52C9">
        <w:rPr>
          <w:rFonts w:ascii="Arial" w:hAnsi="Arial" w:cs="Arial"/>
          <w:szCs w:val="24"/>
        </w:rPr>
        <w:t>A limit of</w:t>
      </w:r>
      <w:r w:rsidRPr="00C41B85">
        <w:rPr>
          <w:rFonts w:ascii="Arial" w:hAnsi="Arial" w:cs="Arial"/>
          <w:szCs w:val="24"/>
        </w:rPr>
        <w:t xml:space="preserve"> </w:t>
      </w:r>
      <w:r w:rsidR="00FC5F49">
        <w:rPr>
          <w:rFonts w:ascii="Arial" w:hAnsi="Arial" w:cs="Arial"/>
          <w:szCs w:val="24"/>
        </w:rPr>
        <w:t>£50</w:t>
      </w:r>
      <w:r w:rsidR="00A64380">
        <w:rPr>
          <w:rFonts w:ascii="Arial" w:hAnsi="Arial" w:cs="Arial"/>
          <w:szCs w:val="24"/>
        </w:rPr>
        <w:t>m</w:t>
      </w:r>
      <w:r w:rsidRPr="00C41B85">
        <w:rPr>
          <w:rFonts w:ascii="Arial" w:hAnsi="Arial" w:cs="Arial"/>
          <w:szCs w:val="24"/>
        </w:rPr>
        <w:t xml:space="preserve"> will be applied to the use of Non-Specified investments.</w:t>
      </w:r>
    </w:p>
    <w:p w:rsidR="00C41B85" w:rsidRPr="00C41B85" w:rsidRDefault="00C41B85" w:rsidP="005804A2">
      <w:pPr>
        <w:rPr>
          <w:rFonts w:ascii="Arial" w:hAnsi="Arial" w:cs="Arial"/>
          <w:i/>
          <w:iCs/>
          <w:szCs w:val="24"/>
        </w:rPr>
      </w:pPr>
    </w:p>
    <w:p w:rsidR="00C41B85" w:rsidRDefault="00C41B85" w:rsidP="005804A2">
      <w:pPr>
        <w:pStyle w:val="BodyText"/>
        <w:spacing w:after="0"/>
        <w:jc w:val="both"/>
        <w:rPr>
          <w:rFonts w:ascii="Arial" w:hAnsi="Arial" w:cs="Arial"/>
          <w:b/>
          <w:iCs/>
          <w:szCs w:val="24"/>
        </w:rPr>
      </w:pPr>
      <w:r w:rsidRPr="00C41B85">
        <w:rPr>
          <w:rFonts w:ascii="Arial" w:hAnsi="Arial" w:cs="Arial"/>
          <w:b/>
          <w:iCs/>
          <w:szCs w:val="24"/>
        </w:rPr>
        <w:t>Use of additional information other than credit ratings</w:t>
      </w:r>
    </w:p>
    <w:p w:rsidR="00B6154C" w:rsidRPr="00C41B85" w:rsidRDefault="00B6154C" w:rsidP="005804A2">
      <w:pPr>
        <w:pStyle w:val="BodyText"/>
        <w:spacing w:after="0"/>
        <w:jc w:val="both"/>
        <w:rPr>
          <w:rFonts w:ascii="Arial" w:hAnsi="Arial" w:cs="Arial"/>
          <w:b/>
          <w:iCs/>
          <w:szCs w:val="24"/>
        </w:rPr>
      </w:pPr>
    </w:p>
    <w:p w:rsidR="00C41B85" w:rsidRPr="00C41B85" w:rsidRDefault="00C41B85" w:rsidP="005804A2">
      <w:pPr>
        <w:numPr>
          <w:ilvl w:val="0"/>
          <w:numId w:val="1"/>
        </w:numPr>
        <w:rPr>
          <w:rFonts w:ascii="Arial" w:hAnsi="Arial" w:cs="Arial"/>
          <w:i/>
          <w:iCs/>
          <w:szCs w:val="24"/>
        </w:rPr>
      </w:pPr>
      <w:r w:rsidRPr="00C41B85">
        <w:rPr>
          <w:rFonts w:ascii="Arial" w:hAnsi="Arial" w:cs="Arial"/>
          <w:iCs/>
          <w:szCs w:val="24"/>
        </w:rPr>
        <w:t>Additional requirements under the Code require the Council to supplement credit rating information.  Whilst the above criteria relies primarily on the application of credit ratings to provide a pool of appropriate counterparties for officers to use, additional operational market information will be applied before making any specific investment decision from the agreed pool of counterparties.  This additional market information (for example Credit Default Swaps, negative rating watches/outlooks) will be applied to compare the relative security of differing investment counterparties.</w:t>
      </w:r>
    </w:p>
    <w:p w:rsidR="00C41B85" w:rsidRPr="00C41B85" w:rsidRDefault="00C41B85" w:rsidP="005804A2">
      <w:pPr>
        <w:rPr>
          <w:rFonts w:ascii="Arial" w:hAnsi="Arial" w:cs="Arial"/>
          <w:i/>
          <w:iCs/>
          <w:szCs w:val="24"/>
        </w:rPr>
      </w:pPr>
    </w:p>
    <w:p w:rsidR="00C41B85" w:rsidRDefault="00C41B85" w:rsidP="005804A2">
      <w:pPr>
        <w:pStyle w:val="BodyText"/>
        <w:spacing w:after="0"/>
        <w:jc w:val="both"/>
        <w:rPr>
          <w:rFonts w:ascii="Arial" w:hAnsi="Arial" w:cs="Arial"/>
          <w:b/>
          <w:iCs/>
          <w:szCs w:val="24"/>
        </w:rPr>
      </w:pPr>
      <w:r w:rsidRPr="00C1062E">
        <w:rPr>
          <w:rFonts w:ascii="Arial" w:hAnsi="Arial" w:cs="Arial"/>
          <w:b/>
          <w:iCs/>
          <w:szCs w:val="24"/>
        </w:rPr>
        <w:t xml:space="preserve">Time and monetary limits applying to investments. </w:t>
      </w:r>
    </w:p>
    <w:p w:rsidR="00B6154C" w:rsidRPr="00C1062E" w:rsidRDefault="00B6154C" w:rsidP="005804A2">
      <w:pPr>
        <w:pStyle w:val="BodyText"/>
        <w:spacing w:after="0"/>
        <w:jc w:val="both"/>
        <w:rPr>
          <w:rFonts w:ascii="Arial" w:hAnsi="Arial" w:cs="Arial"/>
          <w:b/>
          <w:iCs/>
          <w:szCs w:val="24"/>
        </w:rPr>
      </w:pPr>
    </w:p>
    <w:p w:rsidR="00C41B85" w:rsidRPr="00077837" w:rsidRDefault="00C41B85" w:rsidP="005804A2">
      <w:pPr>
        <w:numPr>
          <w:ilvl w:val="0"/>
          <w:numId w:val="1"/>
        </w:numPr>
        <w:rPr>
          <w:rFonts w:ascii="Arial" w:hAnsi="Arial" w:cs="Arial"/>
          <w:iCs/>
          <w:szCs w:val="22"/>
        </w:rPr>
      </w:pPr>
      <w:r w:rsidRPr="00077837">
        <w:rPr>
          <w:rFonts w:ascii="Arial" w:hAnsi="Arial" w:cs="Arial"/>
          <w:iCs/>
          <w:szCs w:val="22"/>
        </w:rPr>
        <w:t>The time and monetary limits for institutions on the Council’s counterparty list are as follows (these will cover both Specified</w:t>
      </w:r>
      <w:r w:rsidR="000A0E48">
        <w:rPr>
          <w:rFonts w:ascii="Arial" w:hAnsi="Arial" w:cs="Arial"/>
          <w:iCs/>
          <w:szCs w:val="22"/>
        </w:rPr>
        <w:t xml:space="preserve"> and Non-Specified Investments)</w:t>
      </w:r>
    </w:p>
    <w:p w:rsidR="00C41B85" w:rsidRPr="00077837" w:rsidRDefault="00C41B85" w:rsidP="005804A2">
      <w:pPr>
        <w:rPr>
          <w:rFonts w:ascii="Arial" w:hAnsi="Arial" w:cs="Arial"/>
          <w:iCs/>
          <w:szCs w:val="22"/>
        </w:rPr>
      </w:pPr>
    </w:p>
    <w:p w:rsidR="00C41B85" w:rsidRDefault="00C41B85" w:rsidP="005804A2">
      <w:pPr>
        <w:numPr>
          <w:ilvl w:val="0"/>
          <w:numId w:val="1"/>
        </w:numPr>
        <w:rPr>
          <w:rFonts w:ascii="Arial" w:hAnsi="Arial" w:cs="Arial"/>
          <w:noProof/>
          <w:szCs w:val="22"/>
        </w:rPr>
      </w:pPr>
      <w:r w:rsidRPr="00077837">
        <w:rPr>
          <w:rFonts w:ascii="Arial" w:hAnsi="Arial" w:cs="Arial"/>
          <w:iCs/>
          <w:szCs w:val="22"/>
        </w:rPr>
        <w:t xml:space="preserve">In order to determine time limits for investments the Council </w:t>
      </w:r>
      <w:r w:rsidRPr="00077837">
        <w:rPr>
          <w:rFonts w:ascii="Arial" w:hAnsi="Arial" w:cs="Arial"/>
          <w:noProof/>
          <w:szCs w:val="22"/>
        </w:rPr>
        <w:t xml:space="preserve">applies the creditworthiness service provided by </w:t>
      </w:r>
      <w:r w:rsidR="00854418">
        <w:rPr>
          <w:rFonts w:ascii="Arial" w:hAnsi="Arial" w:cs="Arial"/>
          <w:noProof/>
          <w:szCs w:val="22"/>
        </w:rPr>
        <w:t>Link</w:t>
      </w:r>
      <w:r w:rsidR="009A52C9">
        <w:rPr>
          <w:rFonts w:ascii="Arial" w:hAnsi="Arial" w:cs="Arial"/>
          <w:noProof/>
          <w:szCs w:val="22"/>
        </w:rPr>
        <w:t xml:space="preserve"> Asset Services</w:t>
      </w:r>
      <w:r w:rsidRPr="00077837">
        <w:rPr>
          <w:rFonts w:ascii="Arial" w:hAnsi="Arial" w:cs="Arial"/>
          <w:noProof/>
          <w:szCs w:val="22"/>
        </w:rPr>
        <w:t xml:space="preserve">.  This service employs a sophisticated modelling approach utlilising credit ratings from the three main credit rating agencies - Fitch, Moodys and Standard and Poors.  The credit ratings of counterparties are supplemented with the following overlays: </w:t>
      </w:r>
      <w:r w:rsidR="00B6154C">
        <w:rPr>
          <w:rFonts w:ascii="Arial" w:hAnsi="Arial" w:cs="Arial"/>
          <w:noProof/>
          <w:szCs w:val="22"/>
        </w:rPr>
        <w:br/>
      </w:r>
    </w:p>
    <w:p w:rsidR="00C41B85" w:rsidRPr="00B6154C" w:rsidRDefault="00C41B85" w:rsidP="00B6154C">
      <w:pPr>
        <w:numPr>
          <w:ilvl w:val="1"/>
          <w:numId w:val="1"/>
        </w:numPr>
        <w:rPr>
          <w:rFonts w:ascii="Arial" w:hAnsi="Arial" w:cs="Arial"/>
          <w:noProof/>
          <w:szCs w:val="22"/>
        </w:rPr>
      </w:pPr>
      <w:r w:rsidRPr="00B6154C">
        <w:rPr>
          <w:rFonts w:ascii="Arial" w:hAnsi="Arial" w:cs="Arial"/>
          <w:noProof/>
          <w:szCs w:val="22"/>
        </w:rPr>
        <w:t>credit watches and credit outlooks from credit rating agencies;</w:t>
      </w:r>
      <w:r w:rsidR="00D465D6" w:rsidRPr="00B6154C">
        <w:rPr>
          <w:rFonts w:ascii="Arial" w:hAnsi="Arial" w:cs="Arial"/>
          <w:noProof/>
          <w:szCs w:val="22"/>
        </w:rPr>
        <w:br/>
      </w:r>
    </w:p>
    <w:p w:rsidR="00C41B85" w:rsidRPr="00077837" w:rsidRDefault="00C41B85" w:rsidP="00B6154C">
      <w:pPr>
        <w:numPr>
          <w:ilvl w:val="1"/>
          <w:numId w:val="1"/>
        </w:numPr>
        <w:rPr>
          <w:rFonts w:ascii="Arial" w:hAnsi="Arial" w:cs="Arial"/>
          <w:noProof/>
          <w:szCs w:val="22"/>
        </w:rPr>
      </w:pPr>
      <w:r w:rsidRPr="00077837">
        <w:rPr>
          <w:rFonts w:ascii="Arial" w:hAnsi="Arial" w:cs="Arial"/>
          <w:noProof/>
          <w:szCs w:val="22"/>
        </w:rPr>
        <w:t>C</w:t>
      </w:r>
      <w:r w:rsidR="0094462D">
        <w:rPr>
          <w:rFonts w:ascii="Arial" w:hAnsi="Arial" w:cs="Arial"/>
          <w:noProof/>
          <w:szCs w:val="22"/>
        </w:rPr>
        <w:t xml:space="preserve">redit Default Swap price </w:t>
      </w:r>
      <w:r w:rsidRPr="00077837">
        <w:rPr>
          <w:rFonts w:ascii="Arial" w:hAnsi="Arial" w:cs="Arial"/>
          <w:noProof/>
          <w:szCs w:val="22"/>
        </w:rPr>
        <w:t>spreads to give early warning of likely changes in credit ratings;</w:t>
      </w:r>
      <w:r w:rsidR="00D465D6">
        <w:rPr>
          <w:rFonts w:ascii="Arial" w:hAnsi="Arial" w:cs="Arial"/>
          <w:noProof/>
          <w:szCs w:val="22"/>
        </w:rPr>
        <w:br/>
      </w:r>
    </w:p>
    <w:p w:rsidR="00C41B85" w:rsidRPr="00077837" w:rsidRDefault="00C41B85" w:rsidP="00B6154C">
      <w:pPr>
        <w:numPr>
          <w:ilvl w:val="1"/>
          <w:numId w:val="1"/>
        </w:numPr>
        <w:rPr>
          <w:rFonts w:ascii="Arial" w:hAnsi="Arial" w:cs="Arial"/>
          <w:noProof/>
          <w:szCs w:val="22"/>
        </w:rPr>
      </w:pPr>
      <w:r w:rsidRPr="00077837">
        <w:rPr>
          <w:rFonts w:ascii="Arial" w:hAnsi="Arial" w:cs="Arial"/>
          <w:noProof/>
          <w:szCs w:val="22"/>
        </w:rPr>
        <w:lastRenderedPageBreak/>
        <w:t>sovereign ratings to select counterparties from only the most creditworthy countries.</w:t>
      </w:r>
    </w:p>
    <w:p w:rsidR="00C41B85" w:rsidRPr="00077837" w:rsidRDefault="00C41B85" w:rsidP="005804A2">
      <w:pPr>
        <w:ind w:left="360"/>
        <w:rPr>
          <w:rFonts w:ascii="Arial" w:hAnsi="Arial" w:cs="Arial"/>
          <w:noProof/>
          <w:szCs w:val="22"/>
        </w:rPr>
      </w:pPr>
    </w:p>
    <w:p w:rsidR="00C41B85" w:rsidRPr="00077837" w:rsidRDefault="00C41B85" w:rsidP="005804A2">
      <w:pPr>
        <w:numPr>
          <w:ilvl w:val="0"/>
          <w:numId w:val="1"/>
        </w:numPr>
        <w:rPr>
          <w:rFonts w:ascii="Arial" w:hAnsi="Arial" w:cs="Arial"/>
          <w:noProof/>
          <w:szCs w:val="22"/>
        </w:rPr>
      </w:pPr>
      <w:r w:rsidRPr="00077837">
        <w:rPr>
          <w:rFonts w:ascii="Arial" w:hAnsi="Arial" w:cs="Arial"/>
          <w:noProof/>
          <w:szCs w:val="22"/>
        </w:rPr>
        <w:t>The Council will therefore use the following durational bands when applying time limits to investments</w:t>
      </w:r>
    </w:p>
    <w:p w:rsidR="00C41B85" w:rsidRPr="00077837" w:rsidRDefault="00C41B85" w:rsidP="005804A2">
      <w:pPr>
        <w:rPr>
          <w:rFonts w:ascii="Arial" w:hAnsi="Arial" w:cs="Arial"/>
          <w:noProof/>
          <w:szCs w:val="22"/>
        </w:rPr>
      </w:pPr>
    </w:p>
    <w:p w:rsidR="00B6154C" w:rsidRPr="00B6154C" w:rsidRDefault="00C41B85" w:rsidP="00B6154C">
      <w:pPr>
        <w:numPr>
          <w:ilvl w:val="1"/>
          <w:numId w:val="1"/>
        </w:numPr>
        <w:rPr>
          <w:rFonts w:ascii="Arial" w:hAnsi="Arial" w:cs="Arial"/>
          <w:noProof/>
          <w:szCs w:val="24"/>
        </w:rPr>
      </w:pPr>
      <w:r w:rsidRPr="00B6154C">
        <w:rPr>
          <w:rFonts w:ascii="Arial" w:hAnsi="Arial" w:cs="Arial"/>
          <w:noProof/>
          <w:szCs w:val="24"/>
        </w:rPr>
        <w:t>Yellow</w:t>
      </w:r>
      <w:r w:rsidR="00B6154C" w:rsidRPr="00B6154C">
        <w:rPr>
          <w:rFonts w:ascii="Arial" w:hAnsi="Arial" w:cs="Arial"/>
          <w:noProof/>
          <w:szCs w:val="24"/>
        </w:rPr>
        <w:t xml:space="preserve"> </w:t>
      </w:r>
      <w:r w:rsidR="00821F4F">
        <w:rPr>
          <w:rFonts w:ascii="Arial" w:hAnsi="Arial" w:cs="Arial"/>
          <w:noProof/>
          <w:szCs w:val="24"/>
        </w:rPr>
        <w:tab/>
      </w:r>
      <w:r w:rsidR="000A0E48">
        <w:rPr>
          <w:rFonts w:ascii="Arial" w:hAnsi="Arial" w:cs="Arial"/>
          <w:noProof/>
          <w:szCs w:val="24"/>
        </w:rPr>
        <w:t>Maximum 2</w:t>
      </w:r>
      <w:r w:rsidRPr="00B6154C">
        <w:rPr>
          <w:rFonts w:ascii="Arial" w:hAnsi="Arial" w:cs="Arial"/>
          <w:noProof/>
          <w:szCs w:val="24"/>
        </w:rPr>
        <w:t xml:space="preserve"> years *This only relates to AAA rated government debt or its equivalent</w:t>
      </w:r>
    </w:p>
    <w:p w:rsidR="00C41B85" w:rsidRPr="00B6154C" w:rsidRDefault="00C41B85" w:rsidP="00B6154C">
      <w:pPr>
        <w:numPr>
          <w:ilvl w:val="1"/>
          <w:numId w:val="1"/>
        </w:numPr>
        <w:rPr>
          <w:rFonts w:ascii="Arial" w:hAnsi="Arial" w:cs="Arial"/>
          <w:noProof/>
          <w:szCs w:val="24"/>
        </w:rPr>
      </w:pPr>
      <w:r w:rsidRPr="00B6154C">
        <w:rPr>
          <w:rFonts w:ascii="Arial" w:hAnsi="Arial" w:cs="Arial"/>
          <w:noProof/>
          <w:szCs w:val="24"/>
        </w:rPr>
        <w:t>Purple</w:t>
      </w:r>
      <w:r w:rsidR="000A0E48">
        <w:rPr>
          <w:rFonts w:ascii="Arial" w:hAnsi="Arial" w:cs="Arial"/>
          <w:noProof/>
          <w:szCs w:val="24"/>
        </w:rPr>
        <w:t xml:space="preserve"> </w:t>
      </w:r>
      <w:r w:rsidR="00B6154C">
        <w:rPr>
          <w:rFonts w:ascii="Arial" w:hAnsi="Arial" w:cs="Arial"/>
          <w:noProof/>
          <w:szCs w:val="24"/>
        </w:rPr>
        <w:tab/>
      </w:r>
      <w:r w:rsidR="000A0E48">
        <w:rPr>
          <w:rFonts w:ascii="Arial" w:hAnsi="Arial" w:cs="Arial"/>
          <w:noProof/>
          <w:szCs w:val="24"/>
        </w:rPr>
        <w:t>Maximum 2</w:t>
      </w:r>
      <w:r w:rsidRPr="00B6154C">
        <w:rPr>
          <w:rFonts w:ascii="Arial" w:hAnsi="Arial" w:cs="Arial"/>
          <w:noProof/>
          <w:szCs w:val="24"/>
        </w:rPr>
        <w:t xml:space="preserve"> years</w:t>
      </w:r>
    </w:p>
    <w:p w:rsidR="00C41B85" w:rsidRDefault="00C41B85" w:rsidP="00B6154C">
      <w:pPr>
        <w:numPr>
          <w:ilvl w:val="1"/>
          <w:numId w:val="1"/>
        </w:numPr>
        <w:rPr>
          <w:rFonts w:ascii="Arial" w:hAnsi="Arial" w:cs="Arial"/>
          <w:noProof/>
          <w:szCs w:val="24"/>
        </w:rPr>
      </w:pPr>
      <w:r w:rsidRPr="00B6154C">
        <w:rPr>
          <w:rFonts w:ascii="Arial" w:hAnsi="Arial" w:cs="Arial"/>
          <w:noProof/>
          <w:szCs w:val="24"/>
        </w:rPr>
        <w:t xml:space="preserve">Blue </w:t>
      </w:r>
      <w:r w:rsidR="00C1062E" w:rsidRPr="00B6154C">
        <w:rPr>
          <w:rFonts w:ascii="Arial" w:hAnsi="Arial" w:cs="Arial"/>
          <w:noProof/>
          <w:szCs w:val="24"/>
        </w:rPr>
        <w:tab/>
      </w:r>
      <w:r w:rsidR="00200E7B">
        <w:rPr>
          <w:rFonts w:ascii="Arial" w:hAnsi="Arial" w:cs="Arial"/>
          <w:noProof/>
          <w:szCs w:val="24"/>
        </w:rPr>
        <w:tab/>
      </w:r>
      <w:r w:rsidRPr="00B6154C">
        <w:rPr>
          <w:rFonts w:ascii="Arial" w:hAnsi="Arial" w:cs="Arial"/>
          <w:noProof/>
          <w:szCs w:val="24"/>
        </w:rPr>
        <w:t>1 year (only applies to nationalised or semi nationalised UK Banks)</w:t>
      </w:r>
    </w:p>
    <w:p w:rsidR="00C41B85" w:rsidRPr="00B6154C" w:rsidRDefault="00C41B85" w:rsidP="00B6154C">
      <w:pPr>
        <w:numPr>
          <w:ilvl w:val="1"/>
          <w:numId w:val="1"/>
        </w:numPr>
        <w:rPr>
          <w:rFonts w:ascii="Arial" w:hAnsi="Arial" w:cs="Arial"/>
          <w:noProof/>
          <w:szCs w:val="24"/>
        </w:rPr>
      </w:pPr>
      <w:r w:rsidRPr="00B6154C">
        <w:rPr>
          <w:rFonts w:ascii="Arial" w:hAnsi="Arial" w:cs="Arial"/>
          <w:noProof/>
          <w:szCs w:val="24"/>
        </w:rPr>
        <w:t>Orange</w:t>
      </w:r>
      <w:r w:rsidRPr="00B6154C">
        <w:rPr>
          <w:rFonts w:ascii="Arial" w:hAnsi="Arial" w:cs="Arial"/>
          <w:noProof/>
          <w:szCs w:val="24"/>
        </w:rPr>
        <w:tab/>
        <w:t>1 year</w:t>
      </w:r>
    </w:p>
    <w:p w:rsidR="00C41B85" w:rsidRPr="00B6154C" w:rsidRDefault="00C41B85" w:rsidP="00B6154C">
      <w:pPr>
        <w:numPr>
          <w:ilvl w:val="1"/>
          <w:numId w:val="1"/>
        </w:numPr>
        <w:rPr>
          <w:rFonts w:ascii="Arial" w:hAnsi="Arial" w:cs="Arial"/>
          <w:noProof/>
          <w:szCs w:val="24"/>
        </w:rPr>
      </w:pPr>
      <w:r w:rsidRPr="00B6154C">
        <w:rPr>
          <w:rFonts w:ascii="Arial" w:hAnsi="Arial" w:cs="Arial"/>
          <w:noProof/>
          <w:szCs w:val="24"/>
        </w:rPr>
        <w:t xml:space="preserve">Red </w:t>
      </w:r>
      <w:r w:rsidR="000A0E48">
        <w:rPr>
          <w:rFonts w:ascii="Arial" w:hAnsi="Arial" w:cs="Arial"/>
          <w:noProof/>
          <w:szCs w:val="24"/>
        </w:rPr>
        <w:t xml:space="preserve">  </w:t>
      </w:r>
      <w:r w:rsidR="000A0E48">
        <w:rPr>
          <w:rFonts w:ascii="Arial" w:hAnsi="Arial" w:cs="Arial"/>
          <w:noProof/>
          <w:szCs w:val="24"/>
        </w:rPr>
        <w:tab/>
      </w:r>
      <w:r w:rsidRPr="00B6154C">
        <w:rPr>
          <w:rFonts w:ascii="Arial" w:hAnsi="Arial" w:cs="Arial"/>
          <w:noProof/>
          <w:szCs w:val="24"/>
        </w:rPr>
        <w:tab/>
        <w:t>6 months</w:t>
      </w:r>
    </w:p>
    <w:p w:rsidR="00C41B85" w:rsidRPr="00B6154C" w:rsidRDefault="00956E51" w:rsidP="00B6154C">
      <w:pPr>
        <w:numPr>
          <w:ilvl w:val="1"/>
          <w:numId w:val="1"/>
        </w:numPr>
        <w:rPr>
          <w:rFonts w:ascii="Arial" w:hAnsi="Arial" w:cs="Arial"/>
          <w:noProof/>
          <w:szCs w:val="24"/>
        </w:rPr>
      </w:pPr>
      <w:r>
        <w:rPr>
          <w:rFonts w:ascii="Arial" w:hAnsi="Arial" w:cs="Arial"/>
          <w:noProof/>
          <w:szCs w:val="24"/>
        </w:rPr>
        <w:t>Green</w:t>
      </w:r>
      <w:r w:rsidR="000A0E48">
        <w:rPr>
          <w:rFonts w:ascii="Arial" w:hAnsi="Arial" w:cs="Arial"/>
          <w:noProof/>
          <w:szCs w:val="24"/>
        </w:rPr>
        <w:tab/>
      </w:r>
      <w:r w:rsidR="00C41B85" w:rsidRPr="00B6154C">
        <w:rPr>
          <w:rFonts w:ascii="Arial" w:hAnsi="Arial" w:cs="Arial"/>
          <w:noProof/>
          <w:szCs w:val="24"/>
        </w:rPr>
        <w:tab/>
        <w:t xml:space="preserve">3 months </w:t>
      </w:r>
    </w:p>
    <w:p w:rsidR="00116C42" w:rsidRDefault="00116C42" w:rsidP="005804A2">
      <w:pPr>
        <w:rPr>
          <w:rFonts w:ascii="Arial" w:hAnsi="Arial" w:cs="Arial"/>
          <w:b/>
          <w:noProof/>
          <w:sz w:val="22"/>
          <w:szCs w:val="22"/>
        </w:rPr>
      </w:pPr>
    </w:p>
    <w:p w:rsidR="00C41B85" w:rsidRDefault="007B6896" w:rsidP="005804A2">
      <w:pPr>
        <w:rPr>
          <w:rFonts w:ascii="Arial" w:hAnsi="Arial" w:cs="Arial"/>
          <w:b/>
          <w:noProof/>
          <w:sz w:val="22"/>
          <w:szCs w:val="22"/>
        </w:rPr>
      </w:pPr>
      <w:r>
        <w:rPr>
          <w:rFonts w:ascii="Arial" w:hAnsi="Arial" w:cs="Arial"/>
          <w:b/>
          <w:noProof/>
          <w:sz w:val="22"/>
          <w:szCs w:val="22"/>
        </w:rPr>
        <w:t>Table 1</w:t>
      </w:r>
      <w:r w:rsidR="00BC3DA3">
        <w:rPr>
          <w:rFonts w:ascii="Arial" w:hAnsi="Arial" w:cs="Arial"/>
          <w:b/>
          <w:noProof/>
          <w:sz w:val="22"/>
          <w:szCs w:val="22"/>
        </w:rPr>
        <w:t>3</w:t>
      </w:r>
      <w:r w:rsidR="00C41B85" w:rsidRPr="00F63DE3">
        <w:rPr>
          <w:rFonts w:ascii="Arial" w:hAnsi="Arial" w:cs="Arial"/>
          <w:b/>
          <w:noProof/>
          <w:sz w:val="22"/>
          <w:szCs w:val="22"/>
        </w:rPr>
        <w:t xml:space="preserve"> – Time and monetary limits applying to investments</w:t>
      </w:r>
    </w:p>
    <w:p w:rsidR="002D384D" w:rsidRPr="00F63DE3" w:rsidRDefault="002D384D" w:rsidP="005804A2">
      <w:pPr>
        <w:rPr>
          <w:rFonts w:ascii="Arial" w:hAnsi="Arial" w:cs="Arial"/>
          <w:b/>
          <w:noProof/>
          <w:sz w:val="22"/>
          <w:szCs w:val="22"/>
        </w:rPr>
      </w:pPr>
    </w:p>
    <w:tbl>
      <w:tblPr>
        <w:tblW w:w="9390" w:type="dxa"/>
        <w:tblCellSpacing w:w="0" w:type="dxa"/>
        <w:tblLayout w:type="fixed"/>
        <w:tblCellMar>
          <w:left w:w="0" w:type="dxa"/>
          <w:right w:w="0" w:type="dxa"/>
        </w:tblCellMar>
        <w:tblLook w:val="0000" w:firstRow="0" w:lastRow="0" w:firstColumn="0" w:lastColumn="0" w:noHBand="0" w:noVBand="0"/>
      </w:tblPr>
      <w:tblGrid>
        <w:gridCol w:w="3671"/>
        <w:gridCol w:w="1701"/>
        <w:gridCol w:w="1321"/>
        <w:gridCol w:w="2697"/>
      </w:tblGrid>
      <w:tr w:rsidR="00C41B85" w:rsidRPr="00F63DE3" w:rsidTr="0077594B">
        <w:trPr>
          <w:trHeight w:val="480"/>
          <w:tblCellSpacing w:w="0" w:type="dxa"/>
        </w:trPr>
        <w:tc>
          <w:tcPr>
            <w:tcW w:w="3671" w:type="dxa"/>
            <w:tcBorders>
              <w:top w:val="single" w:sz="12" w:space="0" w:color="000000"/>
              <w:left w:val="single" w:sz="12" w:space="0" w:color="000000"/>
              <w:bottom w:val="single" w:sz="6" w:space="0" w:color="000000"/>
              <w:right w:val="single" w:sz="6" w:space="0" w:color="000000"/>
            </w:tcBorders>
            <w:shd w:val="clear" w:color="auto" w:fill="D9D9D9"/>
          </w:tcPr>
          <w:p w:rsidR="00C41B85" w:rsidRPr="00F63DE3" w:rsidRDefault="00C41B85" w:rsidP="005804A2">
            <w:pPr>
              <w:pStyle w:val="BodyText2"/>
              <w:rPr>
                <w:rFonts w:cs="Arial"/>
                <w:b/>
                <w:iCs/>
                <w:color w:val="auto"/>
                <w:szCs w:val="22"/>
              </w:rPr>
            </w:pPr>
            <w:r w:rsidRPr="00F63DE3">
              <w:rPr>
                <w:rFonts w:cs="Arial"/>
                <w:b/>
                <w:iCs/>
                <w:color w:val="auto"/>
                <w:szCs w:val="22"/>
              </w:rPr>
              <w:t> </w:t>
            </w:r>
          </w:p>
        </w:tc>
        <w:tc>
          <w:tcPr>
            <w:tcW w:w="1701" w:type="dxa"/>
            <w:tcBorders>
              <w:top w:val="single" w:sz="12" w:space="0" w:color="000000"/>
              <w:left w:val="single" w:sz="6" w:space="0" w:color="000000"/>
              <w:bottom w:val="single" w:sz="6" w:space="0" w:color="000000"/>
              <w:right w:val="single" w:sz="6" w:space="0" w:color="000000"/>
            </w:tcBorders>
            <w:shd w:val="clear" w:color="auto" w:fill="D9D9D9"/>
          </w:tcPr>
          <w:p w:rsidR="00C41B85" w:rsidRPr="00F63DE3" w:rsidRDefault="00C41B85" w:rsidP="005804A2">
            <w:pPr>
              <w:pStyle w:val="BodyText2"/>
              <w:jc w:val="center"/>
              <w:rPr>
                <w:rFonts w:cs="Arial"/>
                <w:iCs/>
                <w:color w:val="auto"/>
                <w:szCs w:val="22"/>
              </w:rPr>
            </w:pPr>
            <w:r w:rsidRPr="00F63DE3">
              <w:rPr>
                <w:rFonts w:cs="Arial"/>
                <w:iCs/>
                <w:color w:val="auto"/>
                <w:szCs w:val="22"/>
              </w:rPr>
              <w:t>Fitch Long term Rating</w:t>
            </w:r>
          </w:p>
          <w:p w:rsidR="00C41B85" w:rsidRPr="00F63DE3" w:rsidRDefault="00C41B85" w:rsidP="005804A2">
            <w:pPr>
              <w:pStyle w:val="BodyText2"/>
              <w:jc w:val="center"/>
              <w:rPr>
                <w:rFonts w:cs="Arial"/>
                <w:iCs/>
                <w:color w:val="auto"/>
                <w:szCs w:val="22"/>
              </w:rPr>
            </w:pPr>
            <w:r w:rsidRPr="00F63DE3">
              <w:rPr>
                <w:rFonts w:cs="Arial"/>
                <w:iCs/>
                <w:color w:val="auto"/>
                <w:szCs w:val="22"/>
              </w:rPr>
              <w:t>(or equivalent)</w:t>
            </w:r>
          </w:p>
        </w:tc>
        <w:tc>
          <w:tcPr>
            <w:tcW w:w="1321" w:type="dxa"/>
            <w:tcBorders>
              <w:top w:val="single" w:sz="12" w:space="0" w:color="000000"/>
              <w:left w:val="single" w:sz="6" w:space="0" w:color="000000"/>
              <w:bottom w:val="single" w:sz="6" w:space="0" w:color="000000"/>
              <w:right w:val="single" w:sz="6" w:space="0" w:color="000000"/>
            </w:tcBorders>
            <w:shd w:val="clear" w:color="auto" w:fill="D9D9D9"/>
          </w:tcPr>
          <w:p w:rsidR="00C41B85" w:rsidRPr="00F63DE3" w:rsidRDefault="00C41B85" w:rsidP="005804A2">
            <w:pPr>
              <w:pStyle w:val="BodyText2"/>
              <w:jc w:val="center"/>
              <w:rPr>
                <w:rFonts w:cs="Arial"/>
                <w:iCs/>
                <w:color w:val="auto"/>
                <w:szCs w:val="22"/>
              </w:rPr>
            </w:pPr>
            <w:r w:rsidRPr="00F63DE3">
              <w:rPr>
                <w:rFonts w:cs="Arial"/>
                <w:iCs/>
                <w:color w:val="auto"/>
                <w:szCs w:val="22"/>
              </w:rPr>
              <w:t xml:space="preserve">Money </w:t>
            </w:r>
          </w:p>
          <w:p w:rsidR="00C41B85" w:rsidRPr="00F63DE3" w:rsidRDefault="00C41B85" w:rsidP="005804A2">
            <w:pPr>
              <w:pStyle w:val="BodyText2"/>
              <w:jc w:val="center"/>
              <w:rPr>
                <w:rFonts w:cs="Arial"/>
                <w:iCs/>
                <w:color w:val="auto"/>
                <w:szCs w:val="22"/>
              </w:rPr>
            </w:pPr>
            <w:r w:rsidRPr="00F63DE3">
              <w:rPr>
                <w:rFonts w:cs="Arial"/>
                <w:iCs/>
                <w:color w:val="auto"/>
                <w:szCs w:val="22"/>
              </w:rPr>
              <w:t>Limit</w:t>
            </w:r>
          </w:p>
        </w:tc>
        <w:tc>
          <w:tcPr>
            <w:tcW w:w="2697" w:type="dxa"/>
            <w:tcBorders>
              <w:top w:val="single" w:sz="12" w:space="0" w:color="000000"/>
              <w:left w:val="single" w:sz="6" w:space="0" w:color="000000"/>
              <w:bottom w:val="single" w:sz="6" w:space="0" w:color="000000"/>
              <w:right w:val="single" w:sz="12" w:space="0" w:color="000000"/>
            </w:tcBorders>
            <w:shd w:val="clear" w:color="auto" w:fill="D9D9D9"/>
          </w:tcPr>
          <w:p w:rsidR="00C41B85" w:rsidRPr="00F63DE3" w:rsidRDefault="00C41B85" w:rsidP="005804A2">
            <w:pPr>
              <w:pStyle w:val="BodyText2"/>
              <w:jc w:val="center"/>
              <w:rPr>
                <w:rFonts w:cs="Arial"/>
                <w:iCs/>
                <w:color w:val="auto"/>
                <w:szCs w:val="22"/>
              </w:rPr>
            </w:pPr>
            <w:r w:rsidRPr="00F63DE3">
              <w:rPr>
                <w:rFonts w:cs="Arial"/>
                <w:iCs/>
                <w:color w:val="auto"/>
                <w:szCs w:val="22"/>
              </w:rPr>
              <w:t xml:space="preserve">Time </w:t>
            </w:r>
          </w:p>
          <w:p w:rsidR="00C41B85" w:rsidRPr="00F63DE3" w:rsidRDefault="00C41B85" w:rsidP="005804A2">
            <w:pPr>
              <w:pStyle w:val="BodyText2"/>
              <w:jc w:val="center"/>
              <w:rPr>
                <w:rFonts w:cs="Arial"/>
                <w:iCs/>
                <w:color w:val="auto"/>
                <w:szCs w:val="22"/>
              </w:rPr>
            </w:pPr>
            <w:r w:rsidRPr="00F63DE3">
              <w:rPr>
                <w:rFonts w:cs="Arial"/>
                <w:iCs/>
                <w:color w:val="auto"/>
                <w:szCs w:val="22"/>
              </w:rPr>
              <w:t>Limit</w:t>
            </w:r>
          </w:p>
        </w:tc>
      </w:tr>
      <w:tr w:rsidR="00C41B85" w:rsidRPr="00F63DE3" w:rsidTr="0077594B">
        <w:trPr>
          <w:trHeight w:val="330"/>
          <w:tblCellSpacing w:w="0" w:type="dxa"/>
        </w:trPr>
        <w:tc>
          <w:tcPr>
            <w:tcW w:w="3671" w:type="dxa"/>
            <w:tcBorders>
              <w:top w:val="single" w:sz="6" w:space="0" w:color="000000"/>
              <w:left w:val="single" w:sz="12" w:space="0" w:color="000000"/>
              <w:bottom w:val="single" w:sz="6" w:space="0" w:color="000000"/>
              <w:right w:val="single" w:sz="6" w:space="0" w:color="000000"/>
            </w:tcBorders>
            <w:shd w:val="clear" w:color="auto" w:fill="auto"/>
            <w:vAlign w:val="center"/>
          </w:tcPr>
          <w:p w:rsidR="00C41B85" w:rsidRPr="0077594B" w:rsidRDefault="00C41B85" w:rsidP="005804A2">
            <w:pPr>
              <w:pStyle w:val="BodyText2"/>
              <w:rPr>
                <w:rFonts w:cs="Arial"/>
                <w:iCs/>
                <w:color w:val="auto"/>
                <w:szCs w:val="22"/>
              </w:rPr>
            </w:pPr>
            <w:r w:rsidRPr="0077594B">
              <w:rPr>
                <w:rFonts w:cs="Arial"/>
                <w:iCs/>
                <w:color w:val="auto"/>
                <w:szCs w:val="22"/>
              </w:rPr>
              <w:t>Banks 1 category high quality</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1B85" w:rsidRPr="0077594B" w:rsidRDefault="00C41B85" w:rsidP="005804A2">
            <w:pPr>
              <w:pStyle w:val="BodyText2"/>
              <w:jc w:val="center"/>
              <w:rPr>
                <w:rFonts w:cs="Arial"/>
                <w:iCs/>
                <w:color w:val="auto"/>
                <w:szCs w:val="22"/>
              </w:rPr>
            </w:pPr>
            <w:r w:rsidRPr="0077594B">
              <w:rPr>
                <w:rFonts w:cs="Arial"/>
                <w:iCs/>
                <w:color w:val="auto"/>
                <w:szCs w:val="22"/>
              </w:rPr>
              <w:t>AA-</w:t>
            </w:r>
          </w:p>
        </w:tc>
        <w:tc>
          <w:tcPr>
            <w:tcW w:w="1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1B85" w:rsidRPr="0077594B" w:rsidRDefault="00D41BF5" w:rsidP="00200E7B">
            <w:pPr>
              <w:pStyle w:val="BodyText2"/>
              <w:jc w:val="center"/>
              <w:rPr>
                <w:rFonts w:cs="Arial"/>
                <w:iCs/>
                <w:color w:val="auto"/>
                <w:szCs w:val="22"/>
              </w:rPr>
            </w:pPr>
            <w:r w:rsidRPr="0077594B">
              <w:rPr>
                <w:rFonts w:cs="Arial"/>
                <w:iCs/>
                <w:color w:val="auto"/>
                <w:szCs w:val="22"/>
              </w:rPr>
              <w:t>£5</w:t>
            </w:r>
            <w:r w:rsidR="00200E7B" w:rsidRPr="0077594B">
              <w:rPr>
                <w:rFonts w:cs="Arial"/>
                <w:iCs/>
                <w:color w:val="auto"/>
                <w:szCs w:val="22"/>
              </w:rPr>
              <w:t>m</w:t>
            </w:r>
          </w:p>
        </w:tc>
        <w:tc>
          <w:tcPr>
            <w:tcW w:w="269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C41B85" w:rsidRPr="0077594B" w:rsidRDefault="004C39CF" w:rsidP="005804A2">
            <w:pPr>
              <w:pStyle w:val="BodyText2"/>
              <w:jc w:val="center"/>
              <w:rPr>
                <w:rFonts w:cs="Arial"/>
                <w:iCs/>
                <w:color w:val="auto"/>
                <w:szCs w:val="22"/>
              </w:rPr>
            </w:pPr>
            <w:r w:rsidRPr="0077594B">
              <w:rPr>
                <w:rFonts w:cs="Arial"/>
                <w:iCs/>
                <w:color w:val="auto"/>
                <w:szCs w:val="22"/>
              </w:rPr>
              <w:t>Maximum of 2 years</w:t>
            </w:r>
            <w:r w:rsidR="00552EB7" w:rsidRPr="0077594B">
              <w:rPr>
                <w:rFonts w:cs="Arial"/>
                <w:iCs/>
                <w:color w:val="auto"/>
                <w:szCs w:val="22"/>
              </w:rPr>
              <w:t xml:space="preserve"> </w:t>
            </w:r>
            <w:r w:rsidR="00C41B85" w:rsidRPr="0077594B">
              <w:rPr>
                <w:rFonts w:cs="Arial"/>
                <w:iCs/>
                <w:color w:val="auto"/>
                <w:szCs w:val="22"/>
              </w:rPr>
              <w:t xml:space="preserve">Suggested duration using </w:t>
            </w:r>
            <w:r w:rsidR="0059779C" w:rsidRPr="0077594B">
              <w:rPr>
                <w:rFonts w:cs="Arial"/>
                <w:iCs/>
                <w:color w:val="auto"/>
                <w:szCs w:val="22"/>
              </w:rPr>
              <w:t>Link Asset Services</w:t>
            </w:r>
            <w:r w:rsidR="00C41B85" w:rsidRPr="0077594B">
              <w:rPr>
                <w:rFonts w:cs="Arial"/>
                <w:iCs/>
                <w:color w:val="auto"/>
                <w:szCs w:val="22"/>
              </w:rPr>
              <w:t xml:space="preserve"> colour coding (CDS adjusted with manual override)</w:t>
            </w:r>
          </w:p>
        </w:tc>
      </w:tr>
      <w:tr w:rsidR="00474B42" w:rsidRPr="00F63DE3" w:rsidTr="0077594B">
        <w:trPr>
          <w:trHeight w:val="1623"/>
          <w:tblCellSpacing w:w="0" w:type="dxa"/>
        </w:trPr>
        <w:tc>
          <w:tcPr>
            <w:tcW w:w="3671" w:type="dxa"/>
            <w:tcBorders>
              <w:top w:val="single" w:sz="6" w:space="0" w:color="000000"/>
              <w:left w:val="single" w:sz="12" w:space="0" w:color="000000"/>
              <w:bottom w:val="single" w:sz="6" w:space="0" w:color="000000"/>
              <w:right w:val="single" w:sz="6" w:space="0" w:color="000000"/>
            </w:tcBorders>
            <w:shd w:val="clear" w:color="auto" w:fill="auto"/>
            <w:vAlign w:val="center"/>
          </w:tcPr>
          <w:p w:rsidR="00474B42" w:rsidRPr="0077594B" w:rsidRDefault="00474B42" w:rsidP="005804A2">
            <w:pPr>
              <w:pStyle w:val="BodyText2"/>
              <w:rPr>
                <w:rFonts w:cs="Arial"/>
                <w:iCs/>
                <w:color w:val="auto"/>
                <w:szCs w:val="22"/>
              </w:rPr>
            </w:pPr>
            <w:r w:rsidRPr="0077594B">
              <w:rPr>
                <w:rFonts w:cs="Arial"/>
                <w:iCs/>
                <w:color w:val="auto"/>
                <w:szCs w:val="22"/>
              </w:rPr>
              <w:t>Banks 1 category medium quality</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B42" w:rsidRPr="0077594B" w:rsidRDefault="00474B42" w:rsidP="005804A2">
            <w:pPr>
              <w:pStyle w:val="BodyText2"/>
              <w:jc w:val="center"/>
              <w:rPr>
                <w:rFonts w:cs="Arial"/>
                <w:iCs/>
                <w:color w:val="auto"/>
                <w:szCs w:val="22"/>
              </w:rPr>
            </w:pPr>
            <w:r w:rsidRPr="0077594B">
              <w:rPr>
                <w:rFonts w:cs="Arial"/>
                <w:iCs/>
                <w:color w:val="auto"/>
                <w:szCs w:val="22"/>
              </w:rPr>
              <w:t>A</w:t>
            </w:r>
          </w:p>
        </w:tc>
        <w:tc>
          <w:tcPr>
            <w:tcW w:w="1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74B42" w:rsidRPr="0077594B" w:rsidRDefault="00474B42" w:rsidP="005804A2">
            <w:pPr>
              <w:pStyle w:val="BodyText2"/>
              <w:jc w:val="center"/>
              <w:rPr>
                <w:rFonts w:cs="Arial"/>
                <w:iCs/>
                <w:color w:val="auto"/>
                <w:szCs w:val="22"/>
              </w:rPr>
            </w:pPr>
            <w:r w:rsidRPr="0077594B">
              <w:rPr>
                <w:rFonts w:cs="Arial"/>
                <w:iCs/>
                <w:color w:val="auto"/>
                <w:szCs w:val="22"/>
              </w:rPr>
              <w:t>£4</w:t>
            </w:r>
            <w:r w:rsidR="00200E7B" w:rsidRPr="0077594B">
              <w:rPr>
                <w:rFonts w:cs="Arial"/>
                <w:iCs/>
                <w:color w:val="auto"/>
                <w:szCs w:val="22"/>
              </w:rPr>
              <w:t>m</w:t>
            </w:r>
          </w:p>
        </w:tc>
        <w:tc>
          <w:tcPr>
            <w:tcW w:w="269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474B42" w:rsidRPr="0077594B" w:rsidRDefault="00474B42" w:rsidP="005804A2">
            <w:pPr>
              <w:pStyle w:val="BodyText2"/>
              <w:jc w:val="center"/>
              <w:rPr>
                <w:rFonts w:cs="Arial"/>
                <w:iCs/>
                <w:color w:val="auto"/>
                <w:szCs w:val="22"/>
              </w:rPr>
            </w:pPr>
            <w:r w:rsidRPr="0077594B">
              <w:rPr>
                <w:rFonts w:cs="Arial"/>
                <w:iCs/>
                <w:color w:val="auto"/>
                <w:szCs w:val="22"/>
              </w:rPr>
              <w:t xml:space="preserve">Maximum of 1 </w:t>
            </w:r>
            <w:r w:rsidR="00EC1967" w:rsidRPr="0077594B">
              <w:rPr>
                <w:rFonts w:cs="Arial"/>
                <w:iCs/>
                <w:color w:val="auto"/>
                <w:szCs w:val="22"/>
              </w:rPr>
              <w:t xml:space="preserve">year </w:t>
            </w:r>
            <w:r w:rsidR="00A84FD2" w:rsidRPr="0077594B">
              <w:rPr>
                <w:rFonts w:cs="Arial"/>
                <w:iCs/>
                <w:color w:val="auto"/>
                <w:szCs w:val="22"/>
              </w:rPr>
              <w:t xml:space="preserve">Suggested duration using </w:t>
            </w:r>
            <w:r w:rsidR="0059779C" w:rsidRPr="0077594B">
              <w:rPr>
                <w:rFonts w:cs="Arial"/>
                <w:iCs/>
                <w:color w:val="auto"/>
                <w:szCs w:val="22"/>
              </w:rPr>
              <w:t>Link Asset Services</w:t>
            </w:r>
            <w:r w:rsidR="00A84FD2" w:rsidRPr="0077594B">
              <w:rPr>
                <w:rFonts w:cs="Arial"/>
                <w:iCs/>
                <w:color w:val="auto"/>
                <w:szCs w:val="22"/>
              </w:rPr>
              <w:t xml:space="preserve"> colour coding (CDS adjusted with manual override)</w:t>
            </w:r>
          </w:p>
        </w:tc>
      </w:tr>
      <w:tr w:rsidR="00C41B85" w:rsidRPr="00F63DE3" w:rsidTr="0077594B">
        <w:trPr>
          <w:trHeight w:val="330"/>
          <w:tblCellSpacing w:w="0" w:type="dxa"/>
        </w:trPr>
        <w:tc>
          <w:tcPr>
            <w:tcW w:w="3671" w:type="dxa"/>
            <w:tcBorders>
              <w:top w:val="single" w:sz="6" w:space="0" w:color="000000"/>
              <w:left w:val="single" w:sz="12" w:space="0" w:color="000000"/>
              <w:bottom w:val="single" w:sz="6" w:space="0" w:color="000000"/>
              <w:right w:val="single" w:sz="6" w:space="0" w:color="000000"/>
            </w:tcBorders>
            <w:shd w:val="clear" w:color="auto" w:fill="auto"/>
            <w:vAlign w:val="center"/>
          </w:tcPr>
          <w:p w:rsidR="00C41B85" w:rsidRPr="0077594B" w:rsidRDefault="00C41B85" w:rsidP="005804A2">
            <w:pPr>
              <w:pStyle w:val="BodyText2"/>
              <w:rPr>
                <w:rFonts w:cs="Arial"/>
                <w:iCs/>
                <w:color w:val="auto"/>
                <w:szCs w:val="22"/>
              </w:rPr>
            </w:pPr>
            <w:r w:rsidRPr="0077594B">
              <w:rPr>
                <w:rFonts w:cs="Arial"/>
                <w:iCs/>
                <w:color w:val="auto"/>
                <w:szCs w:val="22"/>
              </w:rPr>
              <w:t>Banks 1 category lower quality</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1B85" w:rsidRPr="0077594B" w:rsidRDefault="00C41B85" w:rsidP="005804A2">
            <w:pPr>
              <w:pStyle w:val="BodyText2"/>
              <w:jc w:val="center"/>
              <w:rPr>
                <w:rFonts w:cs="Arial"/>
                <w:iCs/>
                <w:color w:val="auto"/>
                <w:szCs w:val="22"/>
              </w:rPr>
            </w:pPr>
            <w:r w:rsidRPr="0077594B">
              <w:rPr>
                <w:rFonts w:cs="Arial"/>
                <w:iCs/>
                <w:color w:val="auto"/>
                <w:szCs w:val="22"/>
              </w:rPr>
              <w:t>A-</w:t>
            </w:r>
          </w:p>
        </w:tc>
        <w:tc>
          <w:tcPr>
            <w:tcW w:w="1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1B85" w:rsidRPr="0077594B" w:rsidRDefault="00D41BF5" w:rsidP="005804A2">
            <w:pPr>
              <w:pStyle w:val="BodyText2"/>
              <w:jc w:val="center"/>
              <w:rPr>
                <w:rFonts w:cs="Arial"/>
                <w:iCs/>
                <w:color w:val="auto"/>
                <w:szCs w:val="22"/>
              </w:rPr>
            </w:pPr>
            <w:r w:rsidRPr="0077594B">
              <w:rPr>
                <w:rFonts w:cs="Arial"/>
                <w:iCs/>
                <w:color w:val="auto"/>
                <w:szCs w:val="22"/>
              </w:rPr>
              <w:t>£3</w:t>
            </w:r>
            <w:r w:rsidR="00200E7B" w:rsidRPr="0077594B">
              <w:rPr>
                <w:rFonts w:cs="Arial"/>
                <w:iCs/>
                <w:color w:val="auto"/>
                <w:szCs w:val="22"/>
              </w:rPr>
              <w:t>m</w:t>
            </w:r>
          </w:p>
        </w:tc>
        <w:tc>
          <w:tcPr>
            <w:tcW w:w="269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C41B85" w:rsidRPr="0077594B" w:rsidRDefault="004C39CF" w:rsidP="005804A2">
            <w:pPr>
              <w:pStyle w:val="BodyText2"/>
              <w:jc w:val="center"/>
              <w:rPr>
                <w:rFonts w:cs="Arial"/>
                <w:iCs/>
                <w:color w:val="auto"/>
                <w:szCs w:val="22"/>
              </w:rPr>
            </w:pPr>
            <w:r w:rsidRPr="0077594B">
              <w:rPr>
                <w:rFonts w:cs="Arial"/>
                <w:iCs/>
                <w:color w:val="auto"/>
                <w:szCs w:val="22"/>
              </w:rPr>
              <w:t>Maximum of 1 year</w:t>
            </w:r>
            <w:r w:rsidR="00EC1967" w:rsidRPr="0077594B">
              <w:rPr>
                <w:rFonts w:cs="Arial"/>
                <w:iCs/>
                <w:color w:val="auto"/>
                <w:szCs w:val="22"/>
              </w:rPr>
              <w:t xml:space="preserve"> </w:t>
            </w:r>
            <w:r w:rsidR="00A84FD2" w:rsidRPr="0077594B">
              <w:rPr>
                <w:rFonts w:cs="Arial"/>
                <w:iCs/>
                <w:color w:val="auto"/>
                <w:szCs w:val="22"/>
              </w:rPr>
              <w:t xml:space="preserve">Suggested duration using </w:t>
            </w:r>
            <w:r w:rsidR="0059779C" w:rsidRPr="0077594B">
              <w:rPr>
                <w:rFonts w:cs="Arial"/>
                <w:iCs/>
                <w:color w:val="auto"/>
                <w:szCs w:val="22"/>
              </w:rPr>
              <w:t>Link Asset Services</w:t>
            </w:r>
            <w:r w:rsidR="00A84FD2" w:rsidRPr="0077594B">
              <w:rPr>
                <w:rFonts w:cs="Arial"/>
                <w:iCs/>
                <w:color w:val="auto"/>
                <w:szCs w:val="22"/>
              </w:rPr>
              <w:t xml:space="preserve"> colour coding (CDS adjusted with manual override)</w:t>
            </w:r>
          </w:p>
        </w:tc>
      </w:tr>
      <w:tr w:rsidR="0005757F" w:rsidRPr="00F63DE3" w:rsidTr="0077594B">
        <w:trPr>
          <w:trHeight w:val="330"/>
          <w:tblCellSpacing w:w="0" w:type="dxa"/>
        </w:trPr>
        <w:tc>
          <w:tcPr>
            <w:tcW w:w="3671" w:type="dxa"/>
            <w:tcBorders>
              <w:top w:val="single" w:sz="6" w:space="0" w:color="000000"/>
              <w:left w:val="single" w:sz="12" w:space="0" w:color="000000"/>
              <w:bottom w:val="single" w:sz="6" w:space="0" w:color="000000"/>
              <w:right w:val="single" w:sz="6" w:space="0" w:color="000000"/>
            </w:tcBorders>
            <w:shd w:val="clear" w:color="auto" w:fill="auto"/>
            <w:vAlign w:val="center"/>
          </w:tcPr>
          <w:p w:rsidR="0005757F" w:rsidRPr="0077594B" w:rsidRDefault="0005757F" w:rsidP="005804A2">
            <w:pPr>
              <w:pStyle w:val="BodyText2"/>
              <w:rPr>
                <w:rFonts w:cs="Arial"/>
                <w:iCs/>
                <w:color w:val="auto"/>
                <w:szCs w:val="22"/>
              </w:rPr>
            </w:pPr>
            <w:r w:rsidRPr="0077594B">
              <w:rPr>
                <w:rFonts w:cs="Arial"/>
                <w:iCs/>
                <w:color w:val="auto"/>
                <w:szCs w:val="22"/>
              </w:rPr>
              <w:t>Banks 2 Non UK</w:t>
            </w:r>
            <w:r w:rsidR="00495BF7" w:rsidRPr="0077594B">
              <w:rPr>
                <w:rFonts w:cs="Arial"/>
                <w:iCs/>
                <w:color w:val="auto"/>
                <w:szCs w:val="22"/>
              </w:rPr>
              <w:t xml:space="preserve"> (Only where sovereign ratings are AAA)</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757F" w:rsidRPr="0077594B" w:rsidRDefault="0005757F" w:rsidP="005804A2">
            <w:pPr>
              <w:pStyle w:val="BodyText2"/>
              <w:jc w:val="center"/>
              <w:rPr>
                <w:rFonts w:cs="Arial"/>
                <w:iCs/>
                <w:color w:val="auto"/>
                <w:szCs w:val="22"/>
              </w:rPr>
            </w:pPr>
            <w:r w:rsidRPr="0077594B">
              <w:rPr>
                <w:rFonts w:cs="Arial"/>
                <w:iCs/>
                <w:color w:val="auto"/>
                <w:szCs w:val="22"/>
              </w:rPr>
              <w:t>AA-</w:t>
            </w:r>
          </w:p>
        </w:tc>
        <w:tc>
          <w:tcPr>
            <w:tcW w:w="1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757F" w:rsidRPr="0077594B" w:rsidRDefault="0005757F" w:rsidP="005804A2">
            <w:pPr>
              <w:pStyle w:val="BodyText2"/>
              <w:jc w:val="center"/>
              <w:rPr>
                <w:rFonts w:cs="Arial"/>
                <w:iCs/>
                <w:color w:val="auto"/>
                <w:szCs w:val="22"/>
              </w:rPr>
            </w:pPr>
            <w:r w:rsidRPr="0077594B">
              <w:rPr>
                <w:rFonts w:cs="Arial"/>
                <w:iCs/>
                <w:color w:val="auto"/>
                <w:szCs w:val="22"/>
              </w:rPr>
              <w:t>£3</w:t>
            </w:r>
            <w:r w:rsidR="00200E7B" w:rsidRPr="0077594B">
              <w:rPr>
                <w:rFonts w:cs="Arial"/>
                <w:iCs/>
                <w:color w:val="auto"/>
                <w:szCs w:val="22"/>
              </w:rPr>
              <w:t>m</w:t>
            </w:r>
          </w:p>
        </w:tc>
        <w:tc>
          <w:tcPr>
            <w:tcW w:w="269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05757F" w:rsidRPr="0077594B" w:rsidRDefault="0005757F" w:rsidP="005804A2">
            <w:pPr>
              <w:pStyle w:val="BodyText2"/>
              <w:jc w:val="center"/>
              <w:rPr>
                <w:rFonts w:cs="Arial"/>
                <w:iCs/>
                <w:color w:val="auto"/>
                <w:szCs w:val="22"/>
              </w:rPr>
            </w:pPr>
            <w:r w:rsidRPr="0077594B">
              <w:rPr>
                <w:rFonts w:cs="Arial"/>
                <w:iCs/>
                <w:color w:val="auto"/>
                <w:szCs w:val="22"/>
              </w:rPr>
              <w:t>Maximum of 1 year</w:t>
            </w:r>
            <w:r w:rsidR="00EC1967" w:rsidRPr="0077594B">
              <w:rPr>
                <w:rFonts w:cs="Arial"/>
                <w:iCs/>
                <w:color w:val="auto"/>
                <w:szCs w:val="22"/>
              </w:rPr>
              <w:t xml:space="preserve"> </w:t>
            </w:r>
            <w:r w:rsidR="00A84FD2" w:rsidRPr="0077594B">
              <w:rPr>
                <w:rFonts w:cs="Arial"/>
                <w:iCs/>
                <w:color w:val="auto"/>
                <w:szCs w:val="22"/>
              </w:rPr>
              <w:t xml:space="preserve">Suggested duration using </w:t>
            </w:r>
            <w:r w:rsidR="0059779C" w:rsidRPr="0077594B">
              <w:rPr>
                <w:rFonts w:cs="Arial"/>
                <w:iCs/>
                <w:color w:val="auto"/>
                <w:szCs w:val="22"/>
              </w:rPr>
              <w:t>Link Asset Services</w:t>
            </w:r>
            <w:r w:rsidR="00A84FD2" w:rsidRPr="0077594B">
              <w:rPr>
                <w:rFonts w:cs="Arial"/>
                <w:iCs/>
                <w:color w:val="auto"/>
                <w:szCs w:val="22"/>
              </w:rPr>
              <w:t xml:space="preserve"> colour coding (CDS adjusted with manual override)</w:t>
            </w:r>
          </w:p>
        </w:tc>
      </w:tr>
      <w:tr w:rsidR="00C41B85" w:rsidRPr="00F63DE3" w:rsidTr="0077594B">
        <w:trPr>
          <w:trHeight w:val="330"/>
          <w:tblCellSpacing w:w="0" w:type="dxa"/>
        </w:trPr>
        <w:tc>
          <w:tcPr>
            <w:tcW w:w="3671" w:type="dxa"/>
            <w:tcBorders>
              <w:top w:val="single" w:sz="6" w:space="0" w:color="000000"/>
              <w:left w:val="single" w:sz="12" w:space="0" w:color="000000"/>
              <w:bottom w:val="single" w:sz="6" w:space="0" w:color="000000"/>
              <w:right w:val="single" w:sz="6" w:space="0" w:color="000000"/>
            </w:tcBorders>
            <w:shd w:val="clear" w:color="auto" w:fill="auto"/>
            <w:vAlign w:val="center"/>
          </w:tcPr>
          <w:p w:rsidR="00C41B85" w:rsidRPr="0077594B" w:rsidRDefault="004A62ED" w:rsidP="005804A2">
            <w:pPr>
              <w:pStyle w:val="BodyText2"/>
              <w:rPr>
                <w:rFonts w:cs="Arial"/>
                <w:iCs/>
                <w:color w:val="auto"/>
                <w:szCs w:val="22"/>
              </w:rPr>
            </w:pPr>
            <w:r w:rsidRPr="0077594B">
              <w:rPr>
                <w:rFonts w:cs="Arial"/>
                <w:iCs/>
                <w:color w:val="auto"/>
                <w:szCs w:val="22"/>
              </w:rPr>
              <w:t>Banks 3</w:t>
            </w:r>
            <w:r w:rsidR="00C41B85" w:rsidRPr="0077594B">
              <w:rPr>
                <w:rFonts w:cs="Arial"/>
                <w:iCs/>
                <w:color w:val="auto"/>
                <w:szCs w:val="22"/>
              </w:rPr>
              <w:t xml:space="preserve"> category – part nationalised</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1B85" w:rsidRPr="0077594B" w:rsidRDefault="00C41B85" w:rsidP="005804A2">
            <w:pPr>
              <w:pStyle w:val="BodyText2"/>
              <w:jc w:val="center"/>
              <w:rPr>
                <w:rFonts w:cs="Arial"/>
                <w:iCs/>
                <w:color w:val="auto"/>
                <w:szCs w:val="22"/>
              </w:rPr>
            </w:pPr>
            <w:r w:rsidRPr="0077594B">
              <w:rPr>
                <w:rFonts w:cs="Arial"/>
                <w:iCs/>
                <w:color w:val="auto"/>
                <w:szCs w:val="22"/>
              </w:rPr>
              <w:t>N/A</w:t>
            </w:r>
          </w:p>
        </w:tc>
        <w:tc>
          <w:tcPr>
            <w:tcW w:w="1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1B85" w:rsidRPr="0077594B" w:rsidRDefault="00077837" w:rsidP="005804A2">
            <w:pPr>
              <w:pStyle w:val="BodyText2"/>
              <w:jc w:val="center"/>
              <w:rPr>
                <w:rFonts w:cs="Arial"/>
                <w:iCs/>
                <w:color w:val="auto"/>
                <w:szCs w:val="22"/>
              </w:rPr>
            </w:pPr>
            <w:r w:rsidRPr="0077594B">
              <w:rPr>
                <w:rFonts w:cs="Arial"/>
                <w:iCs/>
                <w:color w:val="auto"/>
                <w:szCs w:val="22"/>
              </w:rPr>
              <w:t>£5</w:t>
            </w:r>
            <w:r w:rsidR="00200E7B" w:rsidRPr="0077594B">
              <w:rPr>
                <w:rFonts w:cs="Arial"/>
                <w:iCs/>
                <w:color w:val="auto"/>
                <w:szCs w:val="22"/>
              </w:rPr>
              <w:t>m</w:t>
            </w:r>
          </w:p>
        </w:tc>
        <w:tc>
          <w:tcPr>
            <w:tcW w:w="269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C41B85" w:rsidRPr="0077594B" w:rsidRDefault="000A0E48" w:rsidP="000A0E48">
            <w:pPr>
              <w:pStyle w:val="BodyText2"/>
              <w:jc w:val="center"/>
              <w:rPr>
                <w:rFonts w:cs="Arial"/>
                <w:iCs/>
                <w:color w:val="auto"/>
                <w:szCs w:val="22"/>
              </w:rPr>
            </w:pPr>
            <w:r w:rsidRPr="0077594B">
              <w:rPr>
                <w:rFonts w:cs="Arial"/>
                <w:iCs/>
                <w:color w:val="auto"/>
                <w:szCs w:val="22"/>
              </w:rPr>
              <w:t xml:space="preserve">Maximum </w:t>
            </w:r>
            <w:r w:rsidR="00077837" w:rsidRPr="0077594B">
              <w:rPr>
                <w:rFonts w:cs="Arial"/>
                <w:iCs/>
                <w:color w:val="auto"/>
                <w:szCs w:val="22"/>
              </w:rPr>
              <w:t>o</w:t>
            </w:r>
            <w:r w:rsidRPr="0077594B">
              <w:rPr>
                <w:rFonts w:cs="Arial"/>
                <w:iCs/>
                <w:color w:val="auto"/>
                <w:szCs w:val="22"/>
              </w:rPr>
              <w:t>f</w:t>
            </w:r>
            <w:r w:rsidR="00077837" w:rsidRPr="0077594B">
              <w:rPr>
                <w:rFonts w:cs="Arial"/>
                <w:iCs/>
                <w:color w:val="auto"/>
                <w:szCs w:val="22"/>
              </w:rPr>
              <w:t xml:space="preserve"> </w:t>
            </w:r>
            <w:r w:rsidRPr="0077594B">
              <w:rPr>
                <w:rFonts w:cs="Arial"/>
                <w:iCs/>
                <w:color w:val="auto"/>
                <w:szCs w:val="22"/>
              </w:rPr>
              <w:t>1</w:t>
            </w:r>
            <w:r w:rsidR="00077837" w:rsidRPr="0077594B">
              <w:rPr>
                <w:rFonts w:cs="Arial"/>
                <w:iCs/>
                <w:color w:val="auto"/>
                <w:szCs w:val="22"/>
              </w:rPr>
              <w:t xml:space="preserve"> years</w:t>
            </w:r>
          </w:p>
        </w:tc>
      </w:tr>
      <w:tr w:rsidR="00C41B85" w:rsidRPr="00F63DE3" w:rsidTr="0077594B">
        <w:trPr>
          <w:trHeight w:val="330"/>
          <w:tblCellSpacing w:w="0" w:type="dxa"/>
        </w:trPr>
        <w:tc>
          <w:tcPr>
            <w:tcW w:w="3671" w:type="dxa"/>
            <w:tcBorders>
              <w:top w:val="single" w:sz="6" w:space="0" w:color="000000"/>
              <w:left w:val="single" w:sz="12" w:space="0" w:color="000000"/>
              <w:bottom w:val="single" w:sz="6" w:space="0" w:color="000000"/>
              <w:right w:val="single" w:sz="6" w:space="0" w:color="000000"/>
            </w:tcBorders>
            <w:shd w:val="clear" w:color="auto" w:fill="auto"/>
            <w:vAlign w:val="center"/>
          </w:tcPr>
          <w:p w:rsidR="00C41B85" w:rsidRPr="0077594B" w:rsidRDefault="004A62ED" w:rsidP="005804A2">
            <w:pPr>
              <w:pStyle w:val="BodyText2"/>
              <w:rPr>
                <w:rFonts w:cs="Arial"/>
                <w:iCs/>
                <w:color w:val="auto"/>
                <w:szCs w:val="22"/>
              </w:rPr>
            </w:pPr>
            <w:r w:rsidRPr="0077594B">
              <w:rPr>
                <w:rFonts w:cs="Arial"/>
                <w:iCs/>
                <w:color w:val="auto"/>
                <w:szCs w:val="22"/>
              </w:rPr>
              <w:t>Banks 4</w:t>
            </w:r>
            <w:r w:rsidR="00C41B85" w:rsidRPr="0077594B">
              <w:rPr>
                <w:rFonts w:cs="Arial"/>
                <w:iCs/>
                <w:color w:val="auto"/>
                <w:szCs w:val="22"/>
              </w:rPr>
              <w:t xml:space="preserve"> category – Council’</w:t>
            </w:r>
            <w:r w:rsidR="00676478" w:rsidRPr="0077594B">
              <w:rPr>
                <w:rFonts w:cs="Arial"/>
                <w:iCs/>
                <w:color w:val="auto"/>
                <w:szCs w:val="22"/>
              </w:rPr>
              <w:t>s banker (not meeting Banks 1,</w:t>
            </w:r>
            <w:r w:rsidR="00C41B85" w:rsidRPr="0077594B">
              <w:rPr>
                <w:rFonts w:cs="Arial"/>
                <w:iCs/>
                <w:color w:val="auto"/>
                <w:szCs w:val="22"/>
              </w:rPr>
              <w:t xml:space="preserve"> 2</w:t>
            </w:r>
            <w:r w:rsidR="00676478" w:rsidRPr="0077594B">
              <w:rPr>
                <w:rFonts w:cs="Arial"/>
                <w:iCs/>
                <w:color w:val="auto"/>
                <w:szCs w:val="22"/>
              </w:rPr>
              <w:t xml:space="preserve"> and 3</w:t>
            </w:r>
            <w:r w:rsidR="00C41B85" w:rsidRPr="0077594B">
              <w:rPr>
                <w:rFonts w:cs="Arial"/>
                <w:iCs/>
                <w:color w:val="auto"/>
                <w:szCs w:val="22"/>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1B85" w:rsidRPr="0077594B" w:rsidRDefault="00C41B85" w:rsidP="005804A2">
            <w:pPr>
              <w:pStyle w:val="BodyText2"/>
              <w:jc w:val="center"/>
              <w:rPr>
                <w:rFonts w:cs="Arial"/>
                <w:iCs/>
                <w:color w:val="auto"/>
                <w:szCs w:val="22"/>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1B85" w:rsidRPr="0077594B" w:rsidRDefault="00D41BF5" w:rsidP="005804A2">
            <w:pPr>
              <w:pStyle w:val="BodyText2"/>
              <w:jc w:val="center"/>
              <w:rPr>
                <w:rFonts w:cs="Arial"/>
                <w:iCs/>
                <w:color w:val="auto"/>
                <w:szCs w:val="22"/>
              </w:rPr>
            </w:pPr>
            <w:r w:rsidRPr="0077594B">
              <w:rPr>
                <w:rFonts w:cs="Arial"/>
                <w:iCs/>
                <w:color w:val="auto"/>
                <w:szCs w:val="22"/>
              </w:rPr>
              <w:t>£3</w:t>
            </w:r>
            <w:r w:rsidR="00200E7B" w:rsidRPr="0077594B">
              <w:rPr>
                <w:rFonts w:cs="Arial"/>
                <w:iCs/>
                <w:color w:val="auto"/>
                <w:szCs w:val="22"/>
              </w:rPr>
              <w:t>m</w:t>
            </w:r>
          </w:p>
        </w:tc>
        <w:tc>
          <w:tcPr>
            <w:tcW w:w="269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C41B85" w:rsidRPr="0077594B" w:rsidRDefault="00C41B85" w:rsidP="005804A2">
            <w:pPr>
              <w:pStyle w:val="BodyText2"/>
              <w:jc w:val="center"/>
              <w:rPr>
                <w:rFonts w:cs="Arial"/>
                <w:iCs/>
                <w:color w:val="auto"/>
                <w:szCs w:val="22"/>
              </w:rPr>
            </w:pPr>
            <w:r w:rsidRPr="0077594B">
              <w:rPr>
                <w:rFonts w:cs="Arial"/>
                <w:iCs/>
                <w:color w:val="auto"/>
                <w:szCs w:val="22"/>
              </w:rPr>
              <w:t>1 day</w:t>
            </w:r>
          </w:p>
        </w:tc>
      </w:tr>
      <w:tr w:rsidR="00C41B85" w:rsidRPr="00F63DE3" w:rsidTr="0077594B">
        <w:trPr>
          <w:trHeight w:val="330"/>
          <w:tblCellSpacing w:w="0" w:type="dxa"/>
        </w:trPr>
        <w:tc>
          <w:tcPr>
            <w:tcW w:w="3671" w:type="dxa"/>
            <w:tcBorders>
              <w:top w:val="single" w:sz="6" w:space="0" w:color="000000"/>
              <w:left w:val="single" w:sz="12" w:space="0" w:color="000000"/>
              <w:bottom w:val="single" w:sz="4" w:space="0" w:color="auto"/>
              <w:right w:val="single" w:sz="6" w:space="0" w:color="000000"/>
            </w:tcBorders>
            <w:shd w:val="clear" w:color="auto" w:fill="auto"/>
            <w:vAlign w:val="center"/>
          </w:tcPr>
          <w:p w:rsidR="00C41B85" w:rsidRPr="0077594B" w:rsidRDefault="00C41B85" w:rsidP="005804A2">
            <w:pPr>
              <w:pStyle w:val="BodyText2"/>
              <w:rPr>
                <w:rFonts w:cs="Arial"/>
                <w:iCs/>
                <w:color w:val="auto"/>
                <w:szCs w:val="22"/>
              </w:rPr>
            </w:pPr>
            <w:r w:rsidRPr="0077594B">
              <w:rPr>
                <w:rFonts w:cs="Arial"/>
                <w:iCs/>
                <w:color w:val="auto"/>
                <w:szCs w:val="22"/>
              </w:rPr>
              <w:t>DMADF (Debt Management Office)</w:t>
            </w:r>
          </w:p>
        </w:tc>
        <w:tc>
          <w:tcPr>
            <w:tcW w:w="1701" w:type="dxa"/>
            <w:tcBorders>
              <w:top w:val="single" w:sz="6" w:space="0" w:color="000000"/>
              <w:left w:val="single" w:sz="6" w:space="0" w:color="000000"/>
              <w:bottom w:val="single" w:sz="4" w:space="0" w:color="auto"/>
              <w:right w:val="single" w:sz="6" w:space="0" w:color="000000"/>
            </w:tcBorders>
            <w:shd w:val="clear" w:color="auto" w:fill="auto"/>
            <w:vAlign w:val="center"/>
          </w:tcPr>
          <w:p w:rsidR="00C41B85" w:rsidRPr="0077594B" w:rsidRDefault="00C41B85" w:rsidP="005804A2">
            <w:pPr>
              <w:pStyle w:val="BodyText2"/>
              <w:jc w:val="center"/>
              <w:rPr>
                <w:rFonts w:cs="Arial"/>
                <w:iCs/>
                <w:color w:val="auto"/>
                <w:szCs w:val="22"/>
              </w:rPr>
            </w:pPr>
            <w:r w:rsidRPr="0077594B">
              <w:rPr>
                <w:rFonts w:cs="Arial"/>
                <w:iCs/>
                <w:color w:val="auto"/>
                <w:szCs w:val="22"/>
              </w:rPr>
              <w:t>AAA</w:t>
            </w:r>
          </w:p>
        </w:tc>
        <w:tc>
          <w:tcPr>
            <w:tcW w:w="1321" w:type="dxa"/>
            <w:tcBorders>
              <w:top w:val="single" w:sz="6" w:space="0" w:color="000000"/>
              <w:left w:val="single" w:sz="6" w:space="0" w:color="000000"/>
              <w:bottom w:val="single" w:sz="4" w:space="0" w:color="auto"/>
              <w:right w:val="single" w:sz="6" w:space="0" w:color="000000"/>
            </w:tcBorders>
            <w:shd w:val="clear" w:color="auto" w:fill="auto"/>
            <w:vAlign w:val="center"/>
          </w:tcPr>
          <w:p w:rsidR="00C41B85" w:rsidRPr="0077594B" w:rsidRDefault="00C41B85" w:rsidP="005804A2">
            <w:pPr>
              <w:pStyle w:val="BodyText2"/>
              <w:jc w:val="center"/>
              <w:rPr>
                <w:rFonts w:cs="Arial"/>
                <w:iCs/>
                <w:color w:val="auto"/>
                <w:szCs w:val="22"/>
              </w:rPr>
            </w:pPr>
            <w:r w:rsidRPr="0077594B">
              <w:rPr>
                <w:rFonts w:cs="Arial"/>
                <w:iCs/>
                <w:color w:val="auto"/>
                <w:szCs w:val="22"/>
              </w:rPr>
              <w:t>unlimited</w:t>
            </w:r>
          </w:p>
        </w:tc>
        <w:tc>
          <w:tcPr>
            <w:tcW w:w="2697" w:type="dxa"/>
            <w:tcBorders>
              <w:top w:val="single" w:sz="6" w:space="0" w:color="000000"/>
              <w:left w:val="single" w:sz="6" w:space="0" w:color="000000"/>
              <w:bottom w:val="single" w:sz="4" w:space="0" w:color="auto"/>
              <w:right w:val="single" w:sz="12" w:space="0" w:color="000000"/>
            </w:tcBorders>
            <w:shd w:val="clear" w:color="auto" w:fill="auto"/>
            <w:vAlign w:val="center"/>
          </w:tcPr>
          <w:p w:rsidR="00C41B85" w:rsidRPr="0077594B" w:rsidRDefault="00C41B85" w:rsidP="005804A2">
            <w:pPr>
              <w:pStyle w:val="BodyText2"/>
              <w:jc w:val="center"/>
              <w:rPr>
                <w:rFonts w:cs="Arial"/>
                <w:iCs/>
                <w:color w:val="auto"/>
                <w:szCs w:val="22"/>
              </w:rPr>
            </w:pPr>
            <w:r w:rsidRPr="0077594B">
              <w:rPr>
                <w:rFonts w:cs="Arial"/>
                <w:iCs/>
                <w:color w:val="auto"/>
                <w:szCs w:val="22"/>
              </w:rPr>
              <w:t>6 months</w:t>
            </w:r>
          </w:p>
        </w:tc>
      </w:tr>
      <w:tr w:rsidR="00552EB7" w:rsidRPr="00F63DE3" w:rsidTr="0077594B">
        <w:trPr>
          <w:trHeight w:val="330"/>
          <w:tblCellSpacing w:w="0" w:type="dxa"/>
        </w:trPr>
        <w:tc>
          <w:tcPr>
            <w:tcW w:w="3671" w:type="dxa"/>
            <w:tcBorders>
              <w:top w:val="single" w:sz="6" w:space="0" w:color="000000"/>
              <w:left w:val="single" w:sz="12" w:space="0" w:color="000000"/>
              <w:bottom w:val="single" w:sz="4" w:space="0" w:color="auto"/>
              <w:right w:val="single" w:sz="6" w:space="0" w:color="000000"/>
            </w:tcBorders>
            <w:shd w:val="clear" w:color="auto" w:fill="auto"/>
            <w:vAlign w:val="center"/>
          </w:tcPr>
          <w:p w:rsidR="00552EB7" w:rsidRPr="0077594B" w:rsidRDefault="00552EB7" w:rsidP="005804A2">
            <w:pPr>
              <w:pStyle w:val="BodyText2"/>
              <w:rPr>
                <w:rFonts w:cs="Arial"/>
                <w:iCs/>
                <w:color w:val="auto"/>
                <w:szCs w:val="22"/>
              </w:rPr>
            </w:pPr>
            <w:r w:rsidRPr="0077594B">
              <w:rPr>
                <w:rFonts w:cs="Arial"/>
                <w:iCs/>
                <w:color w:val="auto"/>
                <w:szCs w:val="22"/>
              </w:rPr>
              <w:t>UK Government Treasury Bills</w:t>
            </w:r>
          </w:p>
        </w:tc>
        <w:tc>
          <w:tcPr>
            <w:tcW w:w="1701" w:type="dxa"/>
            <w:tcBorders>
              <w:top w:val="single" w:sz="6" w:space="0" w:color="000000"/>
              <w:left w:val="single" w:sz="6" w:space="0" w:color="000000"/>
              <w:bottom w:val="single" w:sz="4" w:space="0" w:color="auto"/>
              <w:right w:val="single" w:sz="6" w:space="0" w:color="000000"/>
            </w:tcBorders>
            <w:shd w:val="clear" w:color="auto" w:fill="auto"/>
            <w:vAlign w:val="center"/>
          </w:tcPr>
          <w:p w:rsidR="00552EB7" w:rsidRPr="0077594B" w:rsidRDefault="00552EB7" w:rsidP="005804A2">
            <w:pPr>
              <w:pStyle w:val="BodyText2"/>
              <w:jc w:val="center"/>
              <w:rPr>
                <w:rFonts w:cs="Arial"/>
                <w:iCs/>
                <w:color w:val="auto"/>
                <w:szCs w:val="22"/>
              </w:rPr>
            </w:pPr>
            <w:r w:rsidRPr="0077594B">
              <w:rPr>
                <w:rFonts w:cs="Arial"/>
                <w:iCs/>
                <w:color w:val="auto"/>
                <w:szCs w:val="22"/>
              </w:rPr>
              <w:t>UK sovereign rating</w:t>
            </w:r>
          </w:p>
        </w:tc>
        <w:tc>
          <w:tcPr>
            <w:tcW w:w="1321" w:type="dxa"/>
            <w:tcBorders>
              <w:top w:val="single" w:sz="6" w:space="0" w:color="000000"/>
              <w:left w:val="single" w:sz="6" w:space="0" w:color="000000"/>
              <w:bottom w:val="single" w:sz="4" w:space="0" w:color="auto"/>
              <w:right w:val="single" w:sz="6" w:space="0" w:color="000000"/>
            </w:tcBorders>
            <w:shd w:val="clear" w:color="auto" w:fill="auto"/>
            <w:vAlign w:val="center"/>
          </w:tcPr>
          <w:p w:rsidR="00552EB7" w:rsidRPr="0077594B" w:rsidRDefault="00552EB7" w:rsidP="005804A2">
            <w:pPr>
              <w:pStyle w:val="BodyText2"/>
              <w:jc w:val="center"/>
              <w:rPr>
                <w:rFonts w:cs="Arial"/>
                <w:iCs/>
                <w:color w:val="auto"/>
                <w:szCs w:val="22"/>
              </w:rPr>
            </w:pPr>
            <w:r w:rsidRPr="0077594B">
              <w:rPr>
                <w:rFonts w:cs="Arial"/>
                <w:iCs/>
                <w:color w:val="auto"/>
                <w:szCs w:val="22"/>
              </w:rPr>
              <w:t>unlimited</w:t>
            </w:r>
          </w:p>
        </w:tc>
        <w:tc>
          <w:tcPr>
            <w:tcW w:w="2697" w:type="dxa"/>
            <w:tcBorders>
              <w:top w:val="single" w:sz="6" w:space="0" w:color="000000"/>
              <w:left w:val="single" w:sz="6" w:space="0" w:color="000000"/>
              <w:bottom w:val="single" w:sz="4" w:space="0" w:color="auto"/>
              <w:right w:val="single" w:sz="12" w:space="0" w:color="000000"/>
            </w:tcBorders>
            <w:shd w:val="clear" w:color="auto" w:fill="auto"/>
            <w:vAlign w:val="center"/>
          </w:tcPr>
          <w:p w:rsidR="00552EB7" w:rsidRPr="0077594B" w:rsidRDefault="00552EB7" w:rsidP="005804A2">
            <w:pPr>
              <w:pStyle w:val="BodyText2"/>
              <w:jc w:val="center"/>
              <w:rPr>
                <w:rFonts w:cs="Arial"/>
                <w:iCs/>
                <w:color w:val="auto"/>
                <w:szCs w:val="22"/>
              </w:rPr>
            </w:pPr>
            <w:r w:rsidRPr="0077594B">
              <w:rPr>
                <w:rFonts w:cs="Arial"/>
                <w:iCs/>
                <w:color w:val="auto"/>
                <w:szCs w:val="22"/>
              </w:rPr>
              <w:t>Maximum of 1 year</w:t>
            </w:r>
          </w:p>
        </w:tc>
      </w:tr>
      <w:tr w:rsidR="00C41B85" w:rsidRPr="00F63DE3" w:rsidTr="0077594B">
        <w:trPr>
          <w:trHeight w:val="330"/>
          <w:tblCellSpacing w:w="0" w:type="dxa"/>
        </w:trPr>
        <w:tc>
          <w:tcPr>
            <w:tcW w:w="3671" w:type="dxa"/>
            <w:tcBorders>
              <w:top w:val="single" w:sz="6" w:space="0" w:color="000000"/>
              <w:left w:val="single" w:sz="12" w:space="0" w:color="000000"/>
              <w:bottom w:val="single" w:sz="4" w:space="0" w:color="auto"/>
              <w:right w:val="single" w:sz="6" w:space="0" w:color="000000"/>
            </w:tcBorders>
            <w:shd w:val="clear" w:color="auto" w:fill="auto"/>
            <w:vAlign w:val="center"/>
          </w:tcPr>
          <w:p w:rsidR="00C41B85" w:rsidRPr="0077594B" w:rsidRDefault="00C41B85" w:rsidP="005804A2">
            <w:pPr>
              <w:pStyle w:val="BodyText2"/>
              <w:rPr>
                <w:rFonts w:cs="Arial"/>
                <w:iCs/>
                <w:color w:val="auto"/>
                <w:szCs w:val="22"/>
              </w:rPr>
            </w:pPr>
            <w:r w:rsidRPr="0077594B">
              <w:rPr>
                <w:rFonts w:cs="Arial"/>
                <w:iCs/>
                <w:color w:val="auto"/>
                <w:szCs w:val="22"/>
              </w:rPr>
              <w:t>Local authorities</w:t>
            </w:r>
          </w:p>
        </w:tc>
        <w:tc>
          <w:tcPr>
            <w:tcW w:w="1701" w:type="dxa"/>
            <w:tcBorders>
              <w:top w:val="single" w:sz="6" w:space="0" w:color="000000"/>
              <w:left w:val="single" w:sz="6" w:space="0" w:color="000000"/>
              <w:bottom w:val="single" w:sz="4" w:space="0" w:color="auto"/>
              <w:right w:val="single" w:sz="6" w:space="0" w:color="000000"/>
            </w:tcBorders>
            <w:shd w:val="clear" w:color="auto" w:fill="auto"/>
            <w:vAlign w:val="center"/>
          </w:tcPr>
          <w:p w:rsidR="00C41B85" w:rsidRPr="0077594B" w:rsidRDefault="00C41B85" w:rsidP="005804A2">
            <w:pPr>
              <w:pStyle w:val="BodyText2"/>
              <w:jc w:val="center"/>
              <w:rPr>
                <w:rFonts w:cs="Arial"/>
                <w:iCs/>
                <w:color w:val="auto"/>
                <w:szCs w:val="22"/>
              </w:rPr>
            </w:pPr>
            <w:r w:rsidRPr="0077594B">
              <w:rPr>
                <w:rFonts w:cs="Arial"/>
                <w:iCs/>
                <w:color w:val="auto"/>
                <w:szCs w:val="22"/>
              </w:rPr>
              <w:t>N/A</w:t>
            </w:r>
          </w:p>
        </w:tc>
        <w:tc>
          <w:tcPr>
            <w:tcW w:w="1321" w:type="dxa"/>
            <w:tcBorders>
              <w:top w:val="single" w:sz="6" w:space="0" w:color="000000"/>
              <w:left w:val="single" w:sz="6" w:space="0" w:color="000000"/>
              <w:bottom w:val="single" w:sz="4" w:space="0" w:color="auto"/>
              <w:right w:val="single" w:sz="6" w:space="0" w:color="000000"/>
            </w:tcBorders>
            <w:shd w:val="clear" w:color="auto" w:fill="auto"/>
            <w:vAlign w:val="center"/>
          </w:tcPr>
          <w:p w:rsidR="00C41B85" w:rsidRPr="0077594B" w:rsidRDefault="00D41BF5" w:rsidP="00200E7B">
            <w:pPr>
              <w:pStyle w:val="BodyText2"/>
              <w:jc w:val="center"/>
              <w:rPr>
                <w:rFonts w:cs="Arial"/>
                <w:iCs/>
                <w:color w:val="auto"/>
                <w:szCs w:val="22"/>
              </w:rPr>
            </w:pPr>
            <w:r w:rsidRPr="0077594B">
              <w:rPr>
                <w:rFonts w:cs="Arial"/>
                <w:iCs/>
                <w:color w:val="auto"/>
                <w:szCs w:val="22"/>
              </w:rPr>
              <w:t>£5</w:t>
            </w:r>
            <w:r w:rsidR="00200E7B" w:rsidRPr="0077594B">
              <w:rPr>
                <w:rFonts w:cs="Arial"/>
                <w:iCs/>
                <w:color w:val="auto"/>
                <w:szCs w:val="22"/>
              </w:rPr>
              <w:t>m</w:t>
            </w:r>
            <w:r w:rsidR="00474B42" w:rsidRPr="0077594B">
              <w:rPr>
                <w:rFonts w:cs="Arial"/>
                <w:iCs/>
                <w:color w:val="auto"/>
                <w:szCs w:val="22"/>
              </w:rPr>
              <w:t xml:space="preserve"> per Local Authority</w:t>
            </w:r>
          </w:p>
        </w:tc>
        <w:tc>
          <w:tcPr>
            <w:tcW w:w="2697" w:type="dxa"/>
            <w:tcBorders>
              <w:top w:val="single" w:sz="6" w:space="0" w:color="000000"/>
              <w:left w:val="single" w:sz="6" w:space="0" w:color="000000"/>
              <w:bottom w:val="single" w:sz="4" w:space="0" w:color="auto"/>
              <w:right w:val="single" w:sz="12" w:space="0" w:color="000000"/>
            </w:tcBorders>
            <w:shd w:val="clear" w:color="auto" w:fill="auto"/>
            <w:vAlign w:val="center"/>
          </w:tcPr>
          <w:p w:rsidR="00C41B85" w:rsidRPr="0077594B" w:rsidRDefault="004C39CF" w:rsidP="005804A2">
            <w:pPr>
              <w:pStyle w:val="BodyText2"/>
              <w:jc w:val="center"/>
              <w:rPr>
                <w:rFonts w:cs="Arial"/>
                <w:iCs/>
                <w:color w:val="auto"/>
                <w:szCs w:val="22"/>
              </w:rPr>
            </w:pPr>
            <w:r w:rsidRPr="0077594B">
              <w:rPr>
                <w:rFonts w:cs="Arial"/>
                <w:iCs/>
                <w:color w:val="auto"/>
                <w:szCs w:val="22"/>
              </w:rPr>
              <w:t>Up to 2</w:t>
            </w:r>
            <w:r w:rsidR="00C41B85" w:rsidRPr="0077594B">
              <w:rPr>
                <w:rFonts w:cs="Arial"/>
                <w:iCs/>
                <w:color w:val="auto"/>
                <w:szCs w:val="22"/>
              </w:rPr>
              <w:t xml:space="preserve"> y</w:t>
            </w:r>
            <w:r w:rsidRPr="0077594B">
              <w:rPr>
                <w:rFonts w:cs="Arial"/>
                <w:iCs/>
                <w:color w:val="auto"/>
                <w:szCs w:val="22"/>
              </w:rPr>
              <w:t>ears</w:t>
            </w:r>
          </w:p>
        </w:tc>
      </w:tr>
      <w:tr w:rsidR="00C41B85" w:rsidRPr="00F63DE3" w:rsidTr="0077594B">
        <w:trPr>
          <w:trHeight w:val="330"/>
          <w:tblCellSpacing w:w="0" w:type="dxa"/>
        </w:trPr>
        <w:tc>
          <w:tcPr>
            <w:tcW w:w="3671" w:type="dxa"/>
            <w:tcBorders>
              <w:top w:val="single" w:sz="6" w:space="0" w:color="000000"/>
              <w:left w:val="single" w:sz="12" w:space="0" w:color="000000"/>
              <w:bottom w:val="single" w:sz="6" w:space="0" w:color="000000"/>
              <w:right w:val="single" w:sz="6" w:space="0" w:color="000000"/>
            </w:tcBorders>
            <w:shd w:val="clear" w:color="auto" w:fill="auto"/>
            <w:vAlign w:val="center"/>
          </w:tcPr>
          <w:p w:rsidR="00C41B85" w:rsidRPr="0077594B" w:rsidRDefault="00C41B85" w:rsidP="005804A2">
            <w:pPr>
              <w:pStyle w:val="BodyText2"/>
              <w:rPr>
                <w:rFonts w:cs="Arial"/>
                <w:iCs/>
                <w:color w:val="auto"/>
                <w:szCs w:val="22"/>
              </w:rPr>
            </w:pPr>
            <w:r w:rsidRPr="0077594B">
              <w:rPr>
                <w:rFonts w:cs="Arial"/>
                <w:iCs/>
                <w:color w:val="auto"/>
                <w:szCs w:val="22"/>
              </w:rPr>
              <w:lastRenderedPageBreak/>
              <w:t>Money market Funds</w:t>
            </w:r>
            <w:r w:rsidR="00B06630">
              <w:rPr>
                <w:rFonts w:cs="Arial"/>
                <w:iCs/>
                <w:color w:val="auto"/>
                <w:szCs w:val="22"/>
              </w:rPr>
              <w:t xml:space="preserve"> (CNAV, LVNAV &amp; VNAV)</w:t>
            </w:r>
            <w:r w:rsidR="002C26D7" w:rsidRPr="0077594B">
              <w:rPr>
                <w:rFonts w:cs="Arial"/>
                <w:iCs/>
                <w:color w:val="auto"/>
                <w:szCs w:val="22"/>
              </w:rPr>
              <w:t xml:space="preserve"> and Ultra Short Dated Bond </w:t>
            </w:r>
            <w:r w:rsidR="00EC1967" w:rsidRPr="0077594B">
              <w:rPr>
                <w:rFonts w:cs="Arial"/>
                <w:iCs/>
                <w:color w:val="auto"/>
                <w:szCs w:val="22"/>
              </w:rPr>
              <w:t>Funds</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1B85" w:rsidRPr="0077594B" w:rsidRDefault="00C41B85" w:rsidP="005804A2">
            <w:pPr>
              <w:pStyle w:val="BodyText2"/>
              <w:jc w:val="center"/>
              <w:rPr>
                <w:rFonts w:cs="Arial"/>
                <w:iCs/>
                <w:color w:val="auto"/>
                <w:szCs w:val="22"/>
              </w:rPr>
            </w:pPr>
            <w:r w:rsidRPr="0077594B">
              <w:rPr>
                <w:rFonts w:cs="Arial"/>
                <w:iCs/>
                <w:color w:val="auto"/>
                <w:szCs w:val="22"/>
              </w:rPr>
              <w:t>AAA</w:t>
            </w:r>
          </w:p>
        </w:tc>
        <w:tc>
          <w:tcPr>
            <w:tcW w:w="1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1B85" w:rsidRPr="0077594B" w:rsidRDefault="00200E7B" w:rsidP="005804A2">
            <w:pPr>
              <w:pStyle w:val="BodyText2"/>
              <w:jc w:val="center"/>
              <w:rPr>
                <w:rFonts w:cs="Arial"/>
                <w:iCs/>
                <w:color w:val="auto"/>
                <w:szCs w:val="22"/>
              </w:rPr>
            </w:pPr>
            <w:r w:rsidRPr="0077594B">
              <w:rPr>
                <w:rFonts w:cs="Arial"/>
                <w:iCs/>
                <w:color w:val="auto"/>
                <w:szCs w:val="22"/>
              </w:rPr>
              <w:t>£5m</w:t>
            </w:r>
            <w:r w:rsidR="00EC1967" w:rsidRPr="0077594B">
              <w:rPr>
                <w:rFonts w:cs="Arial"/>
                <w:iCs/>
                <w:color w:val="auto"/>
                <w:szCs w:val="22"/>
              </w:rPr>
              <w:t xml:space="preserve"> per </w:t>
            </w:r>
            <w:r w:rsidR="00474B42" w:rsidRPr="0077594B">
              <w:rPr>
                <w:rFonts w:cs="Arial"/>
                <w:iCs/>
                <w:color w:val="auto"/>
                <w:szCs w:val="22"/>
              </w:rPr>
              <w:t>Fund</w:t>
            </w:r>
          </w:p>
        </w:tc>
        <w:tc>
          <w:tcPr>
            <w:tcW w:w="2697" w:type="dxa"/>
            <w:tcBorders>
              <w:top w:val="single" w:sz="6" w:space="0" w:color="000000"/>
              <w:left w:val="single" w:sz="6" w:space="0" w:color="000000"/>
              <w:bottom w:val="single" w:sz="6" w:space="0" w:color="000000"/>
              <w:right w:val="single" w:sz="12" w:space="0" w:color="000000"/>
            </w:tcBorders>
            <w:shd w:val="clear" w:color="auto" w:fill="auto"/>
            <w:vAlign w:val="center"/>
          </w:tcPr>
          <w:p w:rsidR="00C41B85" w:rsidRPr="0077594B" w:rsidRDefault="00C41B85" w:rsidP="005804A2">
            <w:pPr>
              <w:pStyle w:val="BodyText2"/>
              <w:jc w:val="center"/>
              <w:rPr>
                <w:rFonts w:cs="Arial"/>
                <w:iCs/>
                <w:color w:val="auto"/>
                <w:szCs w:val="22"/>
              </w:rPr>
            </w:pPr>
            <w:r w:rsidRPr="0077594B">
              <w:rPr>
                <w:rFonts w:cs="Arial"/>
                <w:iCs/>
                <w:color w:val="auto"/>
                <w:szCs w:val="22"/>
              </w:rPr>
              <w:t>liquid</w:t>
            </w:r>
          </w:p>
        </w:tc>
      </w:tr>
      <w:tr w:rsidR="00652B20" w:rsidRPr="00F63DE3" w:rsidTr="0077594B">
        <w:trPr>
          <w:trHeight w:val="330"/>
          <w:tblCellSpacing w:w="0" w:type="dxa"/>
        </w:trPr>
        <w:tc>
          <w:tcPr>
            <w:tcW w:w="3671"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652B20" w:rsidRPr="0077594B" w:rsidRDefault="00F77959" w:rsidP="005804A2">
            <w:pPr>
              <w:pStyle w:val="BodyText2"/>
              <w:rPr>
                <w:rFonts w:cs="Arial"/>
                <w:iCs/>
                <w:color w:val="auto"/>
                <w:szCs w:val="22"/>
              </w:rPr>
            </w:pPr>
            <w:r w:rsidRPr="0077594B">
              <w:rPr>
                <w:rFonts w:cs="Arial"/>
                <w:iCs/>
                <w:color w:val="auto"/>
                <w:szCs w:val="22"/>
              </w:rPr>
              <w:t>Property Funds,</w:t>
            </w:r>
            <w:r w:rsidR="00652B20" w:rsidRPr="0077594B">
              <w:rPr>
                <w:rFonts w:cs="Arial"/>
                <w:iCs/>
                <w:color w:val="auto"/>
                <w:szCs w:val="22"/>
              </w:rPr>
              <w:t xml:space="preserve"> Corporate Bond Funds</w:t>
            </w:r>
            <w:r w:rsidRPr="0077594B">
              <w:rPr>
                <w:rFonts w:cs="Arial"/>
                <w:iCs/>
                <w:color w:val="auto"/>
                <w:szCs w:val="22"/>
              </w:rPr>
              <w:t xml:space="preserve"> and other Asset backed Investment products</w:t>
            </w:r>
          </w:p>
        </w:tc>
        <w:tc>
          <w:tcPr>
            <w:tcW w:w="1701" w:type="dxa"/>
            <w:tcBorders>
              <w:top w:val="single" w:sz="6" w:space="0" w:color="000000"/>
              <w:left w:val="single" w:sz="6" w:space="0" w:color="000000"/>
              <w:bottom w:val="single" w:sz="12" w:space="0" w:color="000000"/>
              <w:right w:val="single" w:sz="6" w:space="0" w:color="000000"/>
            </w:tcBorders>
            <w:shd w:val="clear" w:color="auto" w:fill="auto"/>
            <w:vAlign w:val="center"/>
          </w:tcPr>
          <w:p w:rsidR="00652B20" w:rsidRPr="0077594B" w:rsidRDefault="00F77959" w:rsidP="005804A2">
            <w:pPr>
              <w:pStyle w:val="BodyText2"/>
              <w:jc w:val="center"/>
              <w:rPr>
                <w:rFonts w:cs="Arial"/>
                <w:iCs/>
                <w:color w:val="auto"/>
                <w:szCs w:val="22"/>
              </w:rPr>
            </w:pPr>
            <w:r w:rsidRPr="0077594B">
              <w:rPr>
                <w:rFonts w:cs="Arial"/>
                <w:iCs/>
                <w:color w:val="auto"/>
                <w:szCs w:val="22"/>
              </w:rPr>
              <w:t>Non Rated Due Diligence required</w:t>
            </w:r>
          </w:p>
        </w:tc>
        <w:tc>
          <w:tcPr>
            <w:tcW w:w="1321" w:type="dxa"/>
            <w:tcBorders>
              <w:top w:val="single" w:sz="6" w:space="0" w:color="000000"/>
              <w:left w:val="single" w:sz="6" w:space="0" w:color="000000"/>
              <w:bottom w:val="single" w:sz="12" w:space="0" w:color="000000"/>
              <w:right w:val="single" w:sz="6" w:space="0" w:color="000000"/>
            </w:tcBorders>
            <w:shd w:val="clear" w:color="auto" w:fill="auto"/>
            <w:vAlign w:val="center"/>
          </w:tcPr>
          <w:p w:rsidR="00652B20" w:rsidRPr="0077594B" w:rsidRDefault="00194A25" w:rsidP="00200E7B">
            <w:pPr>
              <w:pStyle w:val="BodyText2"/>
              <w:jc w:val="center"/>
              <w:rPr>
                <w:rFonts w:cs="Arial"/>
                <w:iCs/>
                <w:color w:val="auto"/>
                <w:szCs w:val="22"/>
              </w:rPr>
            </w:pPr>
            <w:r w:rsidRPr="0077594B">
              <w:rPr>
                <w:rFonts w:cs="Arial"/>
                <w:iCs/>
                <w:color w:val="auto"/>
                <w:szCs w:val="22"/>
              </w:rPr>
              <w:t>£20</w:t>
            </w:r>
            <w:r w:rsidR="00200E7B" w:rsidRPr="0077594B">
              <w:rPr>
                <w:rFonts w:cs="Arial"/>
                <w:iCs/>
                <w:color w:val="auto"/>
                <w:szCs w:val="22"/>
              </w:rPr>
              <w:t>m</w:t>
            </w:r>
            <w:r w:rsidR="00EC1967" w:rsidRPr="0077594B">
              <w:rPr>
                <w:rFonts w:cs="Arial"/>
                <w:iCs/>
                <w:color w:val="auto"/>
                <w:szCs w:val="22"/>
              </w:rPr>
              <w:t xml:space="preserve"> per Fund</w:t>
            </w:r>
          </w:p>
        </w:tc>
        <w:tc>
          <w:tcPr>
            <w:tcW w:w="2697"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652B20" w:rsidRPr="0077594B" w:rsidRDefault="00F77959" w:rsidP="005804A2">
            <w:pPr>
              <w:pStyle w:val="BodyText2"/>
              <w:jc w:val="center"/>
              <w:rPr>
                <w:rFonts w:cs="Arial"/>
                <w:iCs/>
                <w:color w:val="auto"/>
                <w:szCs w:val="22"/>
              </w:rPr>
            </w:pPr>
            <w:r w:rsidRPr="0077594B">
              <w:rPr>
                <w:rFonts w:cs="Arial"/>
                <w:iCs/>
                <w:color w:val="auto"/>
                <w:szCs w:val="22"/>
              </w:rPr>
              <w:t>10 years</w:t>
            </w:r>
          </w:p>
        </w:tc>
      </w:tr>
    </w:tbl>
    <w:p w:rsidR="00083E17" w:rsidRPr="00363492" w:rsidRDefault="00083E17" w:rsidP="005804A2">
      <w:pPr>
        <w:rPr>
          <w:rFonts w:ascii="Arial" w:hAnsi="Arial" w:cs="Arial"/>
          <w:b/>
          <w:noProof/>
          <w:szCs w:val="24"/>
        </w:rPr>
      </w:pPr>
    </w:p>
    <w:p w:rsidR="00083E17" w:rsidRPr="0059779C" w:rsidRDefault="00083E17" w:rsidP="005804A2">
      <w:pPr>
        <w:numPr>
          <w:ilvl w:val="0"/>
          <w:numId w:val="1"/>
        </w:numPr>
        <w:rPr>
          <w:rFonts w:ascii="Arial" w:hAnsi="Arial" w:cs="Arial"/>
          <w:noProof/>
          <w:szCs w:val="24"/>
        </w:rPr>
      </w:pPr>
      <w:r w:rsidRPr="0059779C">
        <w:rPr>
          <w:rFonts w:ascii="Arial" w:hAnsi="Arial" w:cs="Arial"/>
          <w:noProof/>
          <w:szCs w:val="24"/>
        </w:rPr>
        <w:t>In addition to sterling deposits either on a fixed term call or notice basis</w:t>
      </w:r>
      <w:r w:rsidR="00363492" w:rsidRPr="0059779C">
        <w:rPr>
          <w:rFonts w:ascii="Arial" w:hAnsi="Arial" w:cs="Arial"/>
          <w:noProof/>
          <w:szCs w:val="24"/>
        </w:rPr>
        <w:t xml:space="preserve"> deposits in banks or Building Societies which meet our criteria,</w:t>
      </w:r>
      <w:r w:rsidR="00D93EF5">
        <w:rPr>
          <w:rFonts w:ascii="Arial" w:hAnsi="Arial" w:cs="Arial"/>
          <w:noProof/>
          <w:szCs w:val="24"/>
        </w:rPr>
        <w:t xml:space="preserve"> </w:t>
      </w:r>
      <w:r w:rsidR="00363492" w:rsidRPr="0059779C">
        <w:rPr>
          <w:rFonts w:ascii="Arial" w:hAnsi="Arial" w:cs="Arial"/>
          <w:noProof/>
          <w:szCs w:val="24"/>
        </w:rPr>
        <w:t>may be made via certificates of deposits where appropriate.</w:t>
      </w:r>
    </w:p>
    <w:p w:rsidR="00363492" w:rsidRPr="00083E17" w:rsidRDefault="00363492" w:rsidP="005804A2">
      <w:pPr>
        <w:ind w:left="879"/>
        <w:rPr>
          <w:rFonts w:ascii="Arial" w:hAnsi="Arial" w:cs="Arial"/>
          <w:noProof/>
          <w:szCs w:val="24"/>
        </w:rPr>
      </w:pPr>
    </w:p>
    <w:p w:rsidR="00C41B85" w:rsidRPr="00077837" w:rsidRDefault="00C41B85" w:rsidP="005804A2">
      <w:pPr>
        <w:numPr>
          <w:ilvl w:val="0"/>
          <w:numId w:val="1"/>
        </w:numPr>
        <w:rPr>
          <w:rFonts w:ascii="Arial" w:hAnsi="Arial" w:cs="Arial"/>
          <w:noProof/>
          <w:sz w:val="22"/>
          <w:szCs w:val="22"/>
        </w:rPr>
      </w:pPr>
      <w:r w:rsidRPr="00077837">
        <w:rPr>
          <w:rFonts w:ascii="Arial" w:hAnsi="Arial" w:cs="Arial"/>
          <w:iCs/>
          <w:szCs w:val="22"/>
        </w:rPr>
        <w:t>The proposed criteria for Specified and Non-Specified inv</w:t>
      </w:r>
      <w:r w:rsidR="0005757F">
        <w:rPr>
          <w:rFonts w:ascii="Arial" w:hAnsi="Arial" w:cs="Arial"/>
          <w:iCs/>
          <w:szCs w:val="22"/>
        </w:rPr>
        <w:t>estments are shown in Appendix 2</w:t>
      </w:r>
      <w:r w:rsidRPr="00077837">
        <w:rPr>
          <w:rFonts w:ascii="Arial" w:hAnsi="Arial" w:cs="Arial"/>
          <w:iCs/>
          <w:szCs w:val="22"/>
        </w:rPr>
        <w:t xml:space="preserve"> </w:t>
      </w:r>
      <w:r w:rsidR="00C1062E">
        <w:rPr>
          <w:rFonts w:ascii="Arial" w:hAnsi="Arial" w:cs="Arial"/>
          <w:iCs/>
          <w:szCs w:val="22"/>
        </w:rPr>
        <w:t>f</w:t>
      </w:r>
      <w:r w:rsidRPr="00077837">
        <w:rPr>
          <w:rFonts w:ascii="Arial" w:hAnsi="Arial" w:cs="Arial"/>
          <w:iCs/>
          <w:szCs w:val="22"/>
        </w:rPr>
        <w:t>or approval.</w:t>
      </w:r>
    </w:p>
    <w:p w:rsidR="00C41B85" w:rsidRPr="00077837" w:rsidRDefault="00C41B85" w:rsidP="005804A2">
      <w:pPr>
        <w:rPr>
          <w:rFonts w:ascii="Arial" w:hAnsi="Arial" w:cs="Arial"/>
          <w:noProof/>
          <w:sz w:val="22"/>
          <w:szCs w:val="22"/>
        </w:rPr>
      </w:pPr>
      <w:r w:rsidRPr="00077837">
        <w:rPr>
          <w:rFonts w:ascii="Arial" w:hAnsi="Arial" w:cs="Arial"/>
          <w:iCs/>
          <w:szCs w:val="22"/>
        </w:rPr>
        <w:t xml:space="preserve"> </w:t>
      </w:r>
    </w:p>
    <w:p w:rsidR="00C41B85" w:rsidRDefault="00C41B85" w:rsidP="005804A2">
      <w:pPr>
        <w:numPr>
          <w:ilvl w:val="0"/>
          <w:numId w:val="1"/>
        </w:numPr>
        <w:rPr>
          <w:rFonts w:ascii="Arial" w:hAnsi="Arial" w:cs="Arial"/>
          <w:noProof/>
          <w:szCs w:val="24"/>
        </w:rPr>
      </w:pPr>
      <w:r w:rsidRPr="00077837">
        <w:rPr>
          <w:rFonts w:ascii="Arial" w:hAnsi="Arial" w:cs="Arial"/>
          <w:noProof/>
          <w:szCs w:val="24"/>
        </w:rPr>
        <w:t xml:space="preserve">All credit ratings will be monitored daily.  The Council is alerted to changes to ratings of all three agencies through its use of the </w:t>
      </w:r>
      <w:r w:rsidR="00854418">
        <w:rPr>
          <w:rFonts w:ascii="Arial" w:hAnsi="Arial" w:cs="Arial"/>
          <w:noProof/>
          <w:szCs w:val="24"/>
        </w:rPr>
        <w:t>Link</w:t>
      </w:r>
      <w:r w:rsidR="0005757F">
        <w:rPr>
          <w:rFonts w:ascii="Arial" w:hAnsi="Arial" w:cs="Arial"/>
          <w:noProof/>
          <w:szCs w:val="24"/>
        </w:rPr>
        <w:t xml:space="preserve"> Asset </w:t>
      </w:r>
      <w:r w:rsidR="00D50DE3">
        <w:rPr>
          <w:rFonts w:ascii="Arial" w:hAnsi="Arial" w:cs="Arial"/>
          <w:noProof/>
          <w:szCs w:val="24"/>
        </w:rPr>
        <w:t>Services</w:t>
      </w:r>
      <w:r w:rsidRPr="00077837">
        <w:rPr>
          <w:rFonts w:ascii="Arial" w:hAnsi="Arial" w:cs="Arial"/>
          <w:noProof/>
          <w:szCs w:val="24"/>
        </w:rPr>
        <w:t xml:space="preserve"> creditworthiness service. </w:t>
      </w:r>
      <w:r w:rsidR="00B6154C">
        <w:rPr>
          <w:rFonts w:ascii="Arial" w:hAnsi="Arial" w:cs="Arial"/>
          <w:noProof/>
          <w:szCs w:val="24"/>
        </w:rPr>
        <w:br/>
      </w:r>
    </w:p>
    <w:p w:rsidR="00C41B85" w:rsidRPr="00B6154C" w:rsidRDefault="00C41B85" w:rsidP="00B6154C">
      <w:pPr>
        <w:numPr>
          <w:ilvl w:val="1"/>
          <w:numId w:val="1"/>
        </w:numPr>
        <w:rPr>
          <w:rFonts w:ascii="Arial" w:hAnsi="Arial" w:cs="Arial"/>
          <w:noProof/>
          <w:szCs w:val="24"/>
        </w:rPr>
      </w:pPr>
      <w:r w:rsidRPr="00B6154C">
        <w:rPr>
          <w:rFonts w:ascii="Arial" w:hAnsi="Arial" w:cs="Arial"/>
          <w:noProof/>
          <w:szCs w:val="24"/>
        </w:rPr>
        <w:t>if a downgrade results in the counterparty / investment scheme no longer meeting the Council’s minimum criteria, its further use as a new investment will be withdrawn immediately.</w:t>
      </w:r>
      <w:r w:rsidR="00F11F4E" w:rsidRPr="00B6154C">
        <w:rPr>
          <w:rFonts w:ascii="Arial" w:hAnsi="Arial" w:cs="Arial"/>
          <w:noProof/>
          <w:szCs w:val="24"/>
        </w:rPr>
        <w:br/>
      </w:r>
    </w:p>
    <w:p w:rsidR="00C41B85" w:rsidRPr="00077837" w:rsidRDefault="00C41B85" w:rsidP="00B6154C">
      <w:pPr>
        <w:numPr>
          <w:ilvl w:val="1"/>
          <w:numId w:val="1"/>
        </w:numPr>
        <w:rPr>
          <w:rFonts w:ascii="Arial" w:hAnsi="Arial" w:cs="Arial"/>
          <w:noProof/>
          <w:szCs w:val="24"/>
        </w:rPr>
      </w:pPr>
      <w:r w:rsidRPr="00077837">
        <w:rPr>
          <w:rFonts w:ascii="Arial" w:hAnsi="Arial" w:cs="Arial"/>
          <w:noProof/>
          <w:szCs w:val="24"/>
        </w:rPr>
        <w:t>in addition to the use of credit ratings the Council will be advised of information in movements in Credit Default Swap against the iTraxx benchmark and other market data on a weekly basis. Extreme market movements may result in downgrade of an institution or removal from the Council’s lending list.</w:t>
      </w:r>
    </w:p>
    <w:p w:rsidR="00C41B85" w:rsidRPr="00077837" w:rsidRDefault="00C41B85" w:rsidP="005804A2">
      <w:pPr>
        <w:ind w:left="454"/>
        <w:rPr>
          <w:rFonts w:ascii="Arial" w:hAnsi="Arial" w:cs="Arial"/>
          <w:noProof/>
          <w:sz w:val="22"/>
          <w:szCs w:val="22"/>
        </w:rPr>
      </w:pPr>
    </w:p>
    <w:p w:rsidR="00C41B85" w:rsidRPr="00077837" w:rsidRDefault="00C41B85" w:rsidP="005804A2">
      <w:pPr>
        <w:numPr>
          <w:ilvl w:val="0"/>
          <w:numId w:val="1"/>
        </w:numPr>
        <w:rPr>
          <w:rFonts w:ascii="Arial" w:hAnsi="Arial" w:cs="Arial"/>
          <w:noProof/>
          <w:szCs w:val="22"/>
        </w:rPr>
      </w:pPr>
      <w:r w:rsidRPr="00077837">
        <w:rPr>
          <w:rFonts w:ascii="Arial" w:hAnsi="Arial" w:cs="Arial"/>
          <w:noProof/>
          <w:szCs w:val="22"/>
        </w:rPr>
        <w:t>Sole reliance will not be placed on the use of this external service.  In addition this Council will also use market data and market information, information on government support for banks and the credit ratings of that government support.</w:t>
      </w:r>
    </w:p>
    <w:p w:rsidR="00D42C71" w:rsidRDefault="00D42C71" w:rsidP="005804A2">
      <w:pPr>
        <w:rPr>
          <w:rFonts w:ascii="Arial" w:hAnsi="Arial" w:cs="Arial"/>
          <w:szCs w:val="22"/>
        </w:rPr>
      </w:pPr>
    </w:p>
    <w:p w:rsidR="00F63DE3" w:rsidRDefault="00F63DE3" w:rsidP="005804A2">
      <w:pPr>
        <w:pStyle w:val="BodyText"/>
        <w:overflowPunct/>
        <w:autoSpaceDE/>
        <w:autoSpaceDN/>
        <w:adjustRightInd/>
        <w:spacing w:after="0"/>
        <w:jc w:val="both"/>
        <w:textAlignment w:val="auto"/>
        <w:rPr>
          <w:rFonts w:ascii="Arial" w:hAnsi="Arial" w:cs="Arial"/>
          <w:b/>
          <w:noProof/>
          <w:szCs w:val="24"/>
        </w:rPr>
      </w:pPr>
      <w:r w:rsidRPr="00F63DE3">
        <w:rPr>
          <w:rFonts w:ascii="Arial" w:hAnsi="Arial" w:cs="Arial"/>
          <w:b/>
          <w:noProof/>
          <w:szCs w:val="24"/>
        </w:rPr>
        <w:t>Investment Strategy</w:t>
      </w:r>
    </w:p>
    <w:p w:rsidR="00D93EF5" w:rsidRPr="00F63DE3" w:rsidRDefault="00D93EF5" w:rsidP="005804A2">
      <w:pPr>
        <w:pStyle w:val="BodyText"/>
        <w:overflowPunct/>
        <w:autoSpaceDE/>
        <w:autoSpaceDN/>
        <w:adjustRightInd/>
        <w:spacing w:after="0"/>
        <w:jc w:val="both"/>
        <w:textAlignment w:val="auto"/>
        <w:rPr>
          <w:rFonts w:ascii="Arial" w:hAnsi="Arial" w:cs="Arial"/>
          <w:b/>
          <w:noProof/>
          <w:szCs w:val="24"/>
        </w:rPr>
      </w:pPr>
    </w:p>
    <w:p w:rsidR="00F63DE3" w:rsidRDefault="002D384D" w:rsidP="005804A2">
      <w:pPr>
        <w:pStyle w:val="BodyText"/>
        <w:spacing w:after="0"/>
        <w:jc w:val="both"/>
        <w:rPr>
          <w:rFonts w:ascii="Arial" w:hAnsi="Arial" w:cs="Arial"/>
          <w:b/>
          <w:noProof/>
          <w:szCs w:val="24"/>
        </w:rPr>
      </w:pPr>
      <w:r>
        <w:rPr>
          <w:rFonts w:ascii="Arial" w:hAnsi="Arial" w:cs="Arial"/>
          <w:b/>
          <w:noProof/>
          <w:szCs w:val="24"/>
        </w:rPr>
        <w:t>In-house funds</w:t>
      </w:r>
    </w:p>
    <w:p w:rsidR="00B6154C" w:rsidRPr="00F63DE3" w:rsidRDefault="00B6154C" w:rsidP="005804A2">
      <w:pPr>
        <w:pStyle w:val="BodyText"/>
        <w:spacing w:after="0"/>
        <w:jc w:val="both"/>
        <w:rPr>
          <w:rFonts w:ascii="Arial" w:hAnsi="Arial" w:cs="Arial"/>
          <w:b/>
          <w:noProof/>
          <w:szCs w:val="24"/>
        </w:rPr>
      </w:pPr>
    </w:p>
    <w:p w:rsidR="00F63DE3" w:rsidRDefault="00F63DE3" w:rsidP="005804A2">
      <w:pPr>
        <w:numPr>
          <w:ilvl w:val="0"/>
          <w:numId w:val="1"/>
        </w:numPr>
        <w:rPr>
          <w:rFonts w:ascii="Arial" w:hAnsi="Arial" w:cs="Arial"/>
          <w:noProof/>
          <w:szCs w:val="24"/>
        </w:rPr>
      </w:pPr>
      <w:r w:rsidRPr="00F63DE3">
        <w:rPr>
          <w:rFonts w:ascii="Arial" w:hAnsi="Arial" w:cs="Arial"/>
          <w:noProof/>
          <w:szCs w:val="24"/>
        </w:rPr>
        <w:t>Investments will be made with reference to the core balance and cash flow requirements and the outlook for short-term</w:t>
      </w:r>
      <w:r>
        <w:rPr>
          <w:rFonts w:ascii="Arial" w:hAnsi="Arial" w:cs="Arial"/>
          <w:noProof/>
          <w:szCs w:val="24"/>
        </w:rPr>
        <w:t xml:space="preserve"> </w:t>
      </w:r>
      <w:r w:rsidRPr="00F63DE3">
        <w:rPr>
          <w:rFonts w:ascii="Arial" w:hAnsi="Arial" w:cs="Arial"/>
          <w:noProof/>
          <w:szCs w:val="24"/>
        </w:rPr>
        <w:t xml:space="preserve">interest rates (i.e. rates for investments up to </w:t>
      </w:r>
      <w:r w:rsidR="00A937AB">
        <w:rPr>
          <w:rFonts w:ascii="Arial" w:hAnsi="Arial" w:cs="Arial"/>
          <w:noProof/>
          <w:szCs w:val="24"/>
        </w:rPr>
        <w:t>1</w:t>
      </w:r>
      <w:r>
        <w:rPr>
          <w:rFonts w:ascii="Arial" w:hAnsi="Arial" w:cs="Arial"/>
          <w:noProof/>
          <w:szCs w:val="24"/>
        </w:rPr>
        <w:t xml:space="preserve">2 </w:t>
      </w:r>
      <w:r w:rsidR="00A937AB">
        <w:rPr>
          <w:rFonts w:ascii="Arial" w:hAnsi="Arial" w:cs="Arial"/>
          <w:noProof/>
          <w:szCs w:val="24"/>
        </w:rPr>
        <w:t>months</w:t>
      </w:r>
      <w:r w:rsidRPr="00F63DE3">
        <w:rPr>
          <w:rFonts w:ascii="Arial" w:hAnsi="Arial" w:cs="Arial"/>
          <w:noProof/>
          <w:szCs w:val="24"/>
        </w:rPr>
        <w:t>).</w:t>
      </w:r>
      <w:r w:rsidR="00A937AB">
        <w:rPr>
          <w:rFonts w:ascii="Arial" w:hAnsi="Arial" w:cs="Arial"/>
          <w:noProof/>
          <w:szCs w:val="24"/>
        </w:rPr>
        <w:t xml:space="preserve"> Greater returns are usually obtainable by investing for longer periods. While most balances are required in order to manage the ups and downs of cash flow, where cash sums can be identified that could be invested for longer periods, the value to be obtained from longer term investments will be carefully assessed.</w:t>
      </w:r>
    </w:p>
    <w:p w:rsidR="00A937AB" w:rsidRDefault="00A937AB" w:rsidP="00A937AB">
      <w:pPr>
        <w:ind w:left="567"/>
        <w:rPr>
          <w:rFonts w:ascii="Arial" w:hAnsi="Arial" w:cs="Arial"/>
          <w:noProof/>
          <w:szCs w:val="24"/>
        </w:rPr>
      </w:pPr>
    </w:p>
    <w:p w:rsidR="00A937AB" w:rsidRDefault="00A937AB" w:rsidP="00A937AB">
      <w:pPr>
        <w:pStyle w:val="ListParagraph"/>
        <w:numPr>
          <w:ilvl w:val="0"/>
          <w:numId w:val="24"/>
        </w:numPr>
        <w:rPr>
          <w:rFonts w:ascii="Arial" w:hAnsi="Arial" w:cs="Arial"/>
          <w:noProof/>
          <w:szCs w:val="24"/>
        </w:rPr>
      </w:pPr>
      <w:r>
        <w:rPr>
          <w:rFonts w:ascii="Arial" w:hAnsi="Arial" w:cs="Arial"/>
          <w:noProof/>
          <w:szCs w:val="24"/>
        </w:rPr>
        <w:t>If it is thought that Bank Rate is likely to rise significantly within the time horizon being considered, then consideration will be given to keeping the most investments as being short term or variable.</w:t>
      </w:r>
    </w:p>
    <w:p w:rsidR="00A937AB" w:rsidRDefault="00A937AB" w:rsidP="00A937AB">
      <w:pPr>
        <w:pStyle w:val="ListParagraph"/>
        <w:ind w:left="2160"/>
        <w:rPr>
          <w:rFonts w:ascii="Arial" w:hAnsi="Arial" w:cs="Arial"/>
          <w:noProof/>
          <w:szCs w:val="24"/>
        </w:rPr>
      </w:pPr>
    </w:p>
    <w:p w:rsidR="00A937AB" w:rsidRPr="00A937AB" w:rsidRDefault="00A937AB" w:rsidP="00A937AB">
      <w:pPr>
        <w:pStyle w:val="ListParagraph"/>
        <w:numPr>
          <w:ilvl w:val="0"/>
          <w:numId w:val="24"/>
        </w:numPr>
        <w:rPr>
          <w:rFonts w:ascii="Arial" w:hAnsi="Arial" w:cs="Arial"/>
          <w:noProof/>
          <w:szCs w:val="24"/>
        </w:rPr>
      </w:pPr>
      <w:r>
        <w:rPr>
          <w:rFonts w:ascii="Arial" w:hAnsi="Arial" w:cs="Arial"/>
          <w:noProof/>
          <w:szCs w:val="24"/>
        </w:rPr>
        <w:t xml:space="preserve">Conversely, if it is thought that Bank Rate is likely to fall within that time period, consideration will be given to locking in higher rates currently obtainable, for longer periods.  </w:t>
      </w:r>
    </w:p>
    <w:p w:rsidR="00F63DE3" w:rsidRPr="00F63DE3" w:rsidRDefault="00F63DE3" w:rsidP="005804A2">
      <w:pPr>
        <w:rPr>
          <w:rFonts w:ascii="Arial" w:hAnsi="Arial" w:cs="Arial"/>
          <w:b/>
          <w:noProof/>
          <w:szCs w:val="24"/>
        </w:rPr>
      </w:pPr>
      <w:r w:rsidRPr="00F63DE3">
        <w:rPr>
          <w:rFonts w:ascii="Arial" w:hAnsi="Arial" w:cs="Arial"/>
          <w:b/>
          <w:noProof/>
          <w:szCs w:val="24"/>
        </w:rPr>
        <w:lastRenderedPageBreak/>
        <w:t>Investment returns expectations</w:t>
      </w:r>
    </w:p>
    <w:p w:rsidR="00F63DE3" w:rsidRPr="00F63DE3" w:rsidRDefault="00F63DE3" w:rsidP="005804A2">
      <w:pPr>
        <w:rPr>
          <w:rFonts w:ascii="Arial" w:hAnsi="Arial" w:cs="Arial"/>
          <w:noProof/>
          <w:szCs w:val="24"/>
        </w:rPr>
      </w:pPr>
    </w:p>
    <w:p w:rsidR="00F63DE3" w:rsidRDefault="00F230E6" w:rsidP="005804A2">
      <w:pPr>
        <w:numPr>
          <w:ilvl w:val="0"/>
          <w:numId w:val="1"/>
        </w:numPr>
        <w:rPr>
          <w:rFonts w:ascii="Arial" w:hAnsi="Arial" w:cs="Arial"/>
          <w:noProof/>
          <w:szCs w:val="24"/>
        </w:rPr>
      </w:pPr>
      <w:r>
        <w:rPr>
          <w:rFonts w:ascii="Arial" w:hAnsi="Arial" w:cs="Arial"/>
          <w:noProof/>
          <w:szCs w:val="24"/>
          <w:lang w:eastAsia="en-GB"/>
        </w:rPr>
        <w:t xml:space="preserve">On the assumption that the UK and EU agree a Brexit deal in spring 2019, then </w:t>
      </w:r>
      <w:bookmarkStart w:id="0" w:name="_GoBack"/>
      <w:bookmarkEnd w:id="0"/>
      <w:r w:rsidR="00F63DE3" w:rsidRPr="00F63DE3">
        <w:rPr>
          <w:rFonts w:ascii="Arial" w:hAnsi="Arial" w:cs="Arial"/>
          <w:noProof/>
          <w:szCs w:val="24"/>
          <w:lang w:eastAsia="en-GB"/>
        </w:rPr>
        <w:t xml:space="preserve">Bank Rate is forecast to </w:t>
      </w:r>
      <w:r w:rsidR="00D93EF5">
        <w:rPr>
          <w:rFonts w:ascii="Arial" w:hAnsi="Arial" w:cs="Arial"/>
          <w:noProof/>
          <w:szCs w:val="24"/>
          <w:lang w:eastAsia="en-GB"/>
        </w:rPr>
        <w:t>increase steadily but slowly over the next few years to reach 2.00</w:t>
      </w:r>
      <w:r w:rsidR="00EB6F8F">
        <w:rPr>
          <w:rFonts w:ascii="Arial" w:hAnsi="Arial" w:cs="Arial"/>
          <w:noProof/>
          <w:szCs w:val="24"/>
          <w:lang w:eastAsia="en-GB"/>
        </w:rPr>
        <w:t>% by quarter 1 202</w:t>
      </w:r>
      <w:r w:rsidR="00D93EF5">
        <w:rPr>
          <w:rFonts w:ascii="Arial" w:hAnsi="Arial" w:cs="Arial"/>
          <w:noProof/>
          <w:szCs w:val="24"/>
          <w:lang w:eastAsia="en-GB"/>
        </w:rPr>
        <w:t>2</w:t>
      </w:r>
      <w:r w:rsidR="00F63DE3" w:rsidRPr="005E0BEF">
        <w:rPr>
          <w:rFonts w:ascii="Arial" w:hAnsi="Arial" w:cs="Arial"/>
          <w:noProof/>
          <w:szCs w:val="24"/>
          <w:lang w:eastAsia="en-GB"/>
        </w:rPr>
        <w:t>.</w:t>
      </w:r>
      <w:r w:rsidR="00F63DE3" w:rsidRPr="00F63DE3">
        <w:rPr>
          <w:rFonts w:ascii="Arial" w:hAnsi="Arial" w:cs="Arial"/>
          <w:noProof/>
          <w:szCs w:val="24"/>
          <w:lang w:eastAsia="en-GB"/>
        </w:rPr>
        <w:t xml:space="preserve"> </w:t>
      </w:r>
      <w:r w:rsidR="00F63DE3" w:rsidRPr="00F63DE3">
        <w:rPr>
          <w:rFonts w:ascii="Arial" w:hAnsi="Arial" w:cs="Arial"/>
          <w:noProof/>
          <w:szCs w:val="24"/>
        </w:rPr>
        <w:t xml:space="preserve">Bank Rate forecasts for financial year ends (March) are: </w:t>
      </w:r>
      <w:r w:rsidR="00B6154C">
        <w:rPr>
          <w:rFonts w:ascii="Arial" w:hAnsi="Arial" w:cs="Arial"/>
          <w:noProof/>
          <w:szCs w:val="24"/>
        </w:rPr>
        <w:br/>
      </w:r>
    </w:p>
    <w:p w:rsidR="00F63DE3" w:rsidRPr="00B6154C" w:rsidRDefault="006C6979" w:rsidP="00B6154C">
      <w:pPr>
        <w:numPr>
          <w:ilvl w:val="1"/>
          <w:numId w:val="1"/>
        </w:numPr>
        <w:rPr>
          <w:rFonts w:ascii="Arial" w:hAnsi="Arial" w:cs="Arial"/>
          <w:noProof/>
          <w:szCs w:val="24"/>
        </w:rPr>
      </w:pPr>
      <w:r>
        <w:rPr>
          <w:rFonts w:ascii="Arial" w:hAnsi="Arial" w:cs="Arial"/>
          <w:szCs w:val="22"/>
        </w:rPr>
        <w:t>2018/19</w:t>
      </w:r>
      <w:r w:rsidR="00F63DE3" w:rsidRPr="00B6154C">
        <w:rPr>
          <w:rFonts w:ascii="Arial" w:hAnsi="Arial" w:cs="Arial"/>
          <w:szCs w:val="22"/>
        </w:rPr>
        <w:t xml:space="preserve">  </w:t>
      </w:r>
      <w:r w:rsidR="005613DC" w:rsidRPr="00B6154C">
        <w:rPr>
          <w:rFonts w:ascii="Arial" w:hAnsi="Arial" w:cs="Arial"/>
          <w:szCs w:val="22"/>
        </w:rPr>
        <w:t xml:space="preserve"> </w:t>
      </w:r>
      <w:r w:rsidR="00EB6F8F">
        <w:rPr>
          <w:rFonts w:ascii="Arial" w:hAnsi="Arial" w:cs="Arial"/>
          <w:szCs w:val="22"/>
        </w:rPr>
        <w:t>0.75%</w:t>
      </w:r>
    </w:p>
    <w:p w:rsidR="00840518" w:rsidRDefault="006C6979" w:rsidP="00B6154C">
      <w:pPr>
        <w:numPr>
          <w:ilvl w:val="1"/>
          <w:numId w:val="1"/>
        </w:numPr>
        <w:rPr>
          <w:rFonts w:ascii="Arial" w:hAnsi="Arial" w:cs="Arial"/>
          <w:szCs w:val="22"/>
        </w:rPr>
      </w:pPr>
      <w:r>
        <w:rPr>
          <w:rFonts w:ascii="Arial" w:hAnsi="Arial" w:cs="Arial"/>
          <w:szCs w:val="22"/>
        </w:rPr>
        <w:t>2019/20</w:t>
      </w:r>
      <w:r w:rsidR="00840518">
        <w:rPr>
          <w:rFonts w:ascii="Arial" w:hAnsi="Arial" w:cs="Arial"/>
          <w:szCs w:val="22"/>
        </w:rPr>
        <w:t xml:space="preserve">  </w:t>
      </w:r>
      <w:r w:rsidR="00EB6F8F">
        <w:rPr>
          <w:rFonts w:ascii="Arial" w:hAnsi="Arial" w:cs="Arial"/>
          <w:szCs w:val="22"/>
        </w:rPr>
        <w:t xml:space="preserve"> 1.</w:t>
      </w:r>
      <w:r w:rsidR="00D93EF5">
        <w:rPr>
          <w:rFonts w:ascii="Arial" w:hAnsi="Arial" w:cs="Arial"/>
          <w:szCs w:val="22"/>
        </w:rPr>
        <w:t>25</w:t>
      </w:r>
      <w:r w:rsidR="00EB6F8F">
        <w:rPr>
          <w:rFonts w:ascii="Arial" w:hAnsi="Arial" w:cs="Arial"/>
          <w:szCs w:val="22"/>
        </w:rPr>
        <w:t>%</w:t>
      </w:r>
      <w:r w:rsidR="00840518">
        <w:rPr>
          <w:rFonts w:ascii="Arial" w:hAnsi="Arial" w:cs="Arial"/>
          <w:szCs w:val="22"/>
        </w:rPr>
        <w:t xml:space="preserve">  </w:t>
      </w:r>
    </w:p>
    <w:p w:rsidR="00AA5CAC" w:rsidRDefault="006C6979" w:rsidP="00B6154C">
      <w:pPr>
        <w:numPr>
          <w:ilvl w:val="1"/>
          <w:numId w:val="1"/>
        </w:numPr>
        <w:rPr>
          <w:rFonts w:ascii="Arial" w:hAnsi="Arial" w:cs="Arial"/>
          <w:szCs w:val="22"/>
        </w:rPr>
      </w:pPr>
      <w:r>
        <w:rPr>
          <w:rFonts w:ascii="Arial" w:hAnsi="Arial" w:cs="Arial"/>
          <w:szCs w:val="22"/>
        </w:rPr>
        <w:t>2020/21</w:t>
      </w:r>
      <w:r w:rsidR="00EB6F8F">
        <w:rPr>
          <w:rFonts w:ascii="Arial" w:hAnsi="Arial" w:cs="Arial"/>
          <w:szCs w:val="22"/>
        </w:rPr>
        <w:t xml:space="preserve">   1.5</w:t>
      </w:r>
      <w:r w:rsidR="00D93EF5">
        <w:rPr>
          <w:rFonts w:ascii="Arial" w:hAnsi="Arial" w:cs="Arial"/>
          <w:szCs w:val="22"/>
        </w:rPr>
        <w:t>0</w:t>
      </w:r>
      <w:r w:rsidR="00EB6F8F">
        <w:rPr>
          <w:rFonts w:ascii="Arial" w:hAnsi="Arial" w:cs="Arial"/>
          <w:szCs w:val="22"/>
        </w:rPr>
        <w:t>%</w:t>
      </w:r>
    </w:p>
    <w:p w:rsidR="00D93EF5" w:rsidRDefault="00D93EF5" w:rsidP="00B6154C">
      <w:pPr>
        <w:numPr>
          <w:ilvl w:val="1"/>
          <w:numId w:val="1"/>
        </w:numPr>
        <w:rPr>
          <w:rFonts w:ascii="Arial" w:hAnsi="Arial" w:cs="Arial"/>
          <w:szCs w:val="22"/>
        </w:rPr>
      </w:pPr>
      <w:r>
        <w:rPr>
          <w:rFonts w:ascii="Arial" w:hAnsi="Arial" w:cs="Arial"/>
          <w:szCs w:val="22"/>
        </w:rPr>
        <w:t>2021/22   2.00%</w:t>
      </w:r>
      <w:r>
        <w:rPr>
          <w:rFonts w:ascii="Arial" w:hAnsi="Arial" w:cs="Arial"/>
          <w:szCs w:val="22"/>
        </w:rPr>
        <w:tab/>
      </w:r>
    </w:p>
    <w:p w:rsidR="00C1062E" w:rsidRDefault="00C1062E" w:rsidP="005804A2">
      <w:pPr>
        <w:rPr>
          <w:rFonts w:ascii="Arial" w:hAnsi="Arial" w:cs="Arial"/>
          <w:szCs w:val="22"/>
        </w:rPr>
      </w:pPr>
    </w:p>
    <w:p w:rsidR="0046736F" w:rsidRDefault="0046736F" w:rsidP="005804A2">
      <w:pPr>
        <w:numPr>
          <w:ilvl w:val="0"/>
          <w:numId w:val="1"/>
        </w:numPr>
        <w:rPr>
          <w:rFonts w:ascii="Arial" w:hAnsi="Arial" w:cs="Arial"/>
          <w:szCs w:val="22"/>
        </w:rPr>
      </w:pPr>
      <w:r>
        <w:rPr>
          <w:rFonts w:ascii="Arial" w:hAnsi="Arial" w:cs="Arial"/>
          <w:szCs w:val="22"/>
        </w:rPr>
        <w:t>The</w:t>
      </w:r>
      <w:r w:rsidR="00C1062E">
        <w:rPr>
          <w:rFonts w:ascii="Arial" w:hAnsi="Arial" w:cs="Arial"/>
          <w:szCs w:val="22"/>
        </w:rPr>
        <w:t xml:space="preserve"> suggested budgeted investment </w:t>
      </w:r>
      <w:r>
        <w:rPr>
          <w:rFonts w:ascii="Arial" w:hAnsi="Arial" w:cs="Arial"/>
          <w:szCs w:val="22"/>
        </w:rPr>
        <w:t>earning</w:t>
      </w:r>
      <w:r w:rsidR="004D17EF">
        <w:rPr>
          <w:rFonts w:ascii="Arial" w:hAnsi="Arial" w:cs="Arial"/>
          <w:szCs w:val="22"/>
        </w:rPr>
        <w:t>s</w:t>
      </w:r>
      <w:r>
        <w:rPr>
          <w:rFonts w:ascii="Arial" w:hAnsi="Arial" w:cs="Arial"/>
          <w:szCs w:val="22"/>
        </w:rPr>
        <w:t xml:space="preserve"> rates for returns on investments placed for periods up to</w:t>
      </w:r>
      <w:r w:rsidR="00D93EF5">
        <w:rPr>
          <w:rFonts w:ascii="Arial" w:hAnsi="Arial" w:cs="Arial"/>
          <w:szCs w:val="22"/>
        </w:rPr>
        <w:t xml:space="preserve"> about</w:t>
      </w:r>
      <w:r>
        <w:rPr>
          <w:rFonts w:ascii="Arial" w:hAnsi="Arial" w:cs="Arial"/>
          <w:szCs w:val="22"/>
        </w:rPr>
        <w:t xml:space="preserve"> </w:t>
      </w:r>
      <w:r w:rsidR="00EB6F8F">
        <w:rPr>
          <w:rFonts w:ascii="Arial" w:hAnsi="Arial" w:cs="Arial"/>
          <w:szCs w:val="22"/>
        </w:rPr>
        <w:t>3 months</w:t>
      </w:r>
      <w:r>
        <w:rPr>
          <w:rFonts w:ascii="Arial" w:hAnsi="Arial" w:cs="Arial"/>
          <w:szCs w:val="22"/>
        </w:rPr>
        <w:t xml:space="preserve"> during each </w:t>
      </w:r>
      <w:r w:rsidR="00AA5CAC">
        <w:rPr>
          <w:rFonts w:ascii="Arial" w:hAnsi="Arial" w:cs="Arial"/>
          <w:szCs w:val="22"/>
        </w:rPr>
        <w:t>financial year</w:t>
      </w:r>
      <w:r>
        <w:rPr>
          <w:rFonts w:ascii="Arial" w:hAnsi="Arial" w:cs="Arial"/>
          <w:szCs w:val="22"/>
        </w:rPr>
        <w:t xml:space="preserve"> are as follows</w:t>
      </w:r>
      <w:r w:rsidR="001F30DC">
        <w:rPr>
          <w:rFonts w:ascii="Arial" w:hAnsi="Arial" w:cs="Arial"/>
          <w:szCs w:val="22"/>
        </w:rPr>
        <w:t>:-</w:t>
      </w:r>
    </w:p>
    <w:p w:rsidR="00AA5CAC" w:rsidRDefault="00AA5CAC" w:rsidP="005804A2">
      <w:pPr>
        <w:rPr>
          <w:rFonts w:ascii="Arial" w:hAnsi="Arial" w:cs="Arial"/>
          <w:szCs w:val="22"/>
        </w:rPr>
      </w:pPr>
    </w:p>
    <w:p w:rsidR="0046736F" w:rsidRDefault="0046736F" w:rsidP="00B6154C">
      <w:pPr>
        <w:numPr>
          <w:ilvl w:val="1"/>
          <w:numId w:val="1"/>
        </w:numPr>
        <w:rPr>
          <w:rFonts w:ascii="Arial" w:hAnsi="Arial" w:cs="Arial"/>
          <w:szCs w:val="22"/>
        </w:rPr>
      </w:pPr>
      <w:r>
        <w:rPr>
          <w:rFonts w:ascii="Arial" w:hAnsi="Arial" w:cs="Arial"/>
          <w:szCs w:val="22"/>
        </w:rPr>
        <w:t>201</w:t>
      </w:r>
      <w:r w:rsidR="006C6979">
        <w:rPr>
          <w:rFonts w:ascii="Arial" w:hAnsi="Arial" w:cs="Arial"/>
          <w:szCs w:val="22"/>
        </w:rPr>
        <w:t>8/19</w:t>
      </w:r>
      <w:r>
        <w:rPr>
          <w:rFonts w:ascii="Arial" w:hAnsi="Arial" w:cs="Arial"/>
          <w:szCs w:val="22"/>
        </w:rPr>
        <w:t xml:space="preserve">   </w:t>
      </w:r>
      <w:r w:rsidR="009729E0">
        <w:rPr>
          <w:rFonts w:ascii="Arial" w:hAnsi="Arial" w:cs="Arial"/>
          <w:szCs w:val="22"/>
        </w:rPr>
        <w:t xml:space="preserve">   </w:t>
      </w:r>
      <w:r w:rsidR="00EB6F8F">
        <w:rPr>
          <w:rFonts w:ascii="Arial" w:hAnsi="Arial" w:cs="Arial"/>
          <w:szCs w:val="22"/>
        </w:rPr>
        <w:t>0.</w:t>
      </w:r>
      <w:r w:rsidR="00D93EF5">
        <w:rPr>
          <w:rFonts w:ascii="Arial" w:hAnsi="Arial" w:cs="Arial"/>
          <w:szCs w:val="22"/>
        </w:rPr>
        <w:t>75</w:t>
      </w:r>
      <w:r w:rsidR="00EB6F8F">
        <w:rPr>
          <w:rFonts w:ascii="Arial" w:hAnsi="Arial" w:cs="Arial"/>
          <w:szCs w:val="22"/>
        </w:rPr>
        <w:t>%</w:t>
      </w:r>
    </w:p>
    <w:p w:rsidR="0046736F" w:rsidRDefault="0046736F" w:rsidP="00B6154C">
      <w:pPr>
        <w:numPr>
          <w:ilvl w:val="1"/>
          <w:numId w:val="1"/>
        </w:numPr>
        <w:rPr>
          <w:rFonts w:ascii="Arial" w:hAnsi="Arial" w:cs="Arial"/>
          <w:szCs w:val="22"/>
        </w:rPr>
      </w:pPr>
      <w:r>
        <w:rPr>
          <w:rFonts w:ascii="Arial" w:hAnsi="Arial" w:cs="Arial"/>
          <w:szCs w:val="22"/>
        </w:rPr>
        <w:t>201</w:t>
      </w:r>
      <w:r w:rsidR="006C6979">
        <w:rPr>
          <w:rFonts w:ascii="Arial" w:hAnsi="Arial" w:cs="Arial"/>
          <w:szCs w:val="22"/>
        </w:rPr>
        <w:t>9/20</w:t>
      </w:r>
      <w:r>
        <w:rPr>
          <w:rFonts w:ascii="Arial" w:hAnsi="Arial" w:cs="Arial"/>
          <w:szCs w:val="22"/>
        </w:rPr>
        <w:t xml:space="preserve">   </w:t>
      </w:r>
      <w:r w:rsidR="009729E0">
        <w:rPr>
          <w:rFonts w:ascii="Arial" w:hAnsi="Arial" w:cs="Arial"/>
          <w:szCs w:val="22"/>
        </w:rPr>
        <w:t xml:space="preserve">   </w:t>
      </w:r>
      <w:r w:rsidR="00D93EF5">
        <w:rPr>
          <w:rFonts w:ascii="Arial" w:hAnsi="Arial" w:cs="Arial"/>
          <w:szCs w:val="22"/>
        </w:rPr>
        <w:t>1</w:t>
      </w:r>
      <w:r w:rsidR="00EB6F8F">
        <w:rPr>
          <w:rFonts w:ascii="Arial" w:hAnsi="Arial" w:cs="Arial"/>
          <w:szCs w:val="22"/>
        </w:rPr>
        <w:t>.</w:t>
      </w:r>
      <w:r w:rsidR="00D93EF5">
        <w:rPr>
          <w:rFonts w:ascii="Arial" w:hAnsi="Arial" w:cs="Arial"/>
          <w:szCs w:val="22"/>
        </w:rPr>
        <w:t>0</w:t>
      </w:r>
      <w:r w:rsidR="00EB6F8F">
        <w:rPr>
          <w:rFonts w:ascii="Arial" w:hAnsi="Arial" w:cs="Arial"/>
          <w:szCs w:val="22"/>
        </w:rPr>
        <w:t>0%</w:t>
      </w:r>
    </w:p>
    <w:p w:rsidR="005E0BEF" w:rsidRDefault="006C6979" w:rsidP="00B6154C">
      <w:pPr>
        <w:numPr>
          <w:ilvl w:val="1"/>
          <w:numId w:val="1"/>
        </w:numPr>
        <w:rPr>
          <w:rFonts w:ascii="Arial" w:hAnsi="Arial" w:cs="Arial"/>
          <w:szCs w:val="22"/>
        </w:rPr>
      </w:pPr>
      <w:r>
        <w:rPr>
          <w:rFonts w:ascii="Arial" w:hAnsi="Arial" w:cs="Arial"/>
          <w:szCs w:val="22"/>
        </w:rPr>
        <w:t>2020/21</w:t>
      </w:r>
      <w:r w:rsidR="005E0BEF">
        <w:rPr>
          <w:rFonts w:ascii="Arial" w:hAnsi="Arial" w:cs="Arial"/>
          <w:szCs w:val="22"/>
        </w:rPr>
        <w:t xml:space="preserve">   </w:t>
      </w:r>
      <w:r w:rsidR="005613DC">
        <w:rPr>
          <w:rFonts w:ascii="Arial" w:hAnsi="Arial" w:cs="Arial"/>
          <w:szCs w:val="22"/>
        </w:rPr>
        <w:t xml:space="preserve"> </w:t>
      </w:r>
      <w:r w:rsidR="009729E0">
        <w:rPr>
          <w:rFonts w:ascii="Arial" w:hAnsi="Arial" w:cs="Arial"/>
          <w:szCs w:val="22"/>
        </w:rPr>
        <w:t xml:space="preserve">  </w:t>
      </w:r>
      <w:r w:rsidR="00EB6F8F">
        <w:rPr>
          <w:rFonts w:ascii="Arial" w:hAnsi="Arial" w:cs="Arial"/>
          <w:szCs w:val="22"/>
        </w:rPr>
        <w:t>1.5</w:t>
      </w:r>
      <w:r w:rsidR="00D93EF5">
        <w:rPr>
          <w:rFonts w:ascii="Arial" w:hAnsi="Arial" w:cs="Arial"/>
          <w:szCs w:val="22"/>
        </w:rPr>
        <w:t>0</w:t>
      </w:r>
      <w:r w:rsidR="00EB6F8F">
        <w:rPr>
          <w:rFonts w:ascii="Arial" w:hAnsi="Arial" w:cs="Arial"/>
          <w:szCs w:val="22"/>
        </w:rPr>
        <w:t>%</w:t>
      </w:r>
      <w:r w:rsidR="009729E0">
        <w:rPr>
          <w:rFonts w:ascii="Arial" w:hAnsi="Arial" w:cs="Arial"/>
          <w:szCs w:val="22"/>
        </w:rPr>
        <w:t xml:space="preserve"> </w:t>
      </w:r>
    </w:p>
    <w:p w:rsidR="005613DC" w:rsidRDefault="006C6979" w:rsidP="00B6154C">
      <w:pPr>
        <w:numPr>
          <w:ilvl w:val="1"/>
          <w:numId w:val="1"/>
        </w:numPr>
        <w:rPr>
          <w:rFonts w:ascii="Arial" w:hAnsi="Arial" w:cs="Arial"/>
          <w:szCs w:val="22"/>
        </w:rPr>
      </w:pPr>
      <w:r>
        <w:rPr>
          <w:rFonts w:ascii="Arial" w:hAnsi="Arial" w:cs="Arial"/>
          <w:szCs w:val="22"/>
        </w:rPr>
        <w:t>2021/22</w:t>
      </w:r>
      <w:r w:rsidR="005613DC">
        <w:rPr>
          <w:rFonts w:ascii="Arial" w:hAnsi="Arial" w:cs="Arial"/>
          <w:szCs w:val="22"/>
        </w:rPr>
        <w:t xml:space="preserve"> </w:t>
      </w:r>
      <w:r w:rsidR="009729E0">
        <w:rPr>
          <w:rFonts w:ascii="Arial" w:hAnsi="Arial" w:cs="Arial"/>
          <w:szCs w:val="22"/>
        </w:rPr>
        <w:t xml:space="preserve">   </w:t>
      </w:r>
      <w:r w:rsidR="005613DC">
        <w:rPr>
          <w:rFonts w:ascii="Arial" w:hAnsi="Arial" w:cs="Arial"/>
          <w:szCs w:val="22"/>
        </w:rPr>
        <w:t xml:space="preserve">  </w:t>
      </w:r>
      <w:r w:rsidR="00EB6F8F">
        <w:rPr>
          <w:rFonts w:ascii="Arial" w:hAnsi="Arial" w:cs="Arial"/>
          <w:szCs w:val="22"/>
        </w:rPr>
        <w:t>1.</w:t>
      </w:r>
      <w:r w:rsidR="00D93EF5">
        <w:rPr>
          <w:rFonts w:ascii="Arial" w:hAnsi="Arial" w:cs="Arial"/>
          <w:szCs w:val="22"/>
        </w:rPr>
        <w:t>7</w:t>
      </w:r>
      <w:r w:rsidR="00EB6F8F">
        <w:rPr>
          <w:rFonts w:ascii="Arial" w:hAnsi="Arial" w:cs="Arial"/>
          <w:szCs w:val="22"/>
        </w:rPr>
        <w:t>5%</w:t>
      </w:r>
    </w:p>
    <w:p w:rsidR="005613DC" w:rsidRDefault="006C6979" w:rsidP="00B6154C">
      <w:pPr>
        <w:numPr>
          <w:ilvl w:val="1"/>
          <w:numId w:val="1"/>
        </w:numPr>
        <w:rPr>
          <w:rFonts w:ascii="Arial" w:hAnsi="Arial" w:cs="Arial"/>
          <w:szCs w:val="22"/>
        </w:rPr>
      </w:pPr>
      <w:r>
        <w:rPr>
          <w:rFonts w:ascii="Arial" w:hAnsi="Arial" w:cs="Arial"/>
          <w:szCs w:val="22"/>
        </w:rPr>
        <w:t>2022/23</w:t>
      </w:r>
      <w:r w:rsidR="005613DC">
        <w:rPr>
          <w:rFonts w:ascii="Arial" w:hAnsi="Arial" w:cs="Arial"/>
          <w:szCs w:val="22"/>
        </w:rPr>
        <w:t xml:space="preserve"> </w:t>
      </w:r>
      <w:r w:rsidR="009729E0">
        <w:rPr>
          <w:rFonts w:ascii="Arial" w:hAnsi="Arial" w:cs="Arial"/>
          <w:szCs w:val="22"/>
        </w:rPr>
        <w:t xml:space="preserve">   </w:t>
      </w:r>
      <w:r w:rsidR="005613DC">
        <w:rPr>
          <w:rFonts w:ascii="Arial" w:hAnsi="Arial" w:cs="Arial"/>
          <w:szCs w:val="22"/>
        </w:rPr>
        <w:t xml:space="preserve"> </w:t>
      </w:r>
      <w:r w:rsidR="00EB6F8F">
        <w:rPr>
          <w:rFonts w:ascii="Arial" w:hAnsi="Arial" w:cs="Arial"/>
          <w:szCs w:val="22"/>
        </w:rPr>
        <w:t xml:space="preserve"> 1.75%</w:t>
      </w:r>
    </w:p>
    <w:p w:rsidR="005613DC" w:rsidRPr="00EB6F8F" w:rsidRDefault="006C6979" w:rsidP="00EB6F8F">
      <w:pPr>
        <w:numPr>
          <w:ilvl w:val="1"/>
          <w:numId w:val="1"/>
        </w:numPr>
        <w:rPr>
          <w:rFonts w:ascii="Arial" w:hAnsi="Arial" w:cs="Arial"/>
          <w:szCs w:val="22"/>
        </w:rPr>
      </w:pPr>
      <w:r w:rsidRPr="00EB6F8F">
        <w:rPr>
          <w:rFonts w:ascii="Arial" w:hAnsi="Arial" w:cs="Arial"/>
          <w:szCs w:val="22"/>
        </w:rPr>
        <w:t>2023/24</w:t>
      </w:r>
      <w:r w:rsidR="005613DC" w:rsidRPr="00EB6F8F">
        <w:rPr>
          <w:rFonts w:ascii="Arial" w:hAnsi="Arial" w:cs="Arial"/>
          <w:szCs w:val="22"/>
        </w:rPr>
        <w:t xml:space="preserve">  </w:t>
      </w:r>
      <w:r w:rsidR="009729E0" w:rsidRPr="00EB6F8F">
        <w:rPr>
          <w:rFonts w:ascii="Arial" w:hAnsi="Arial" w:cs="Arial"/>
          <w:szCs w:val="22"/>
        </w:rPr>
        <w:t xml:space="preserve">   </w:t>
      </w:r>
      <w:r w:rsidR="005613DC" w:rsidRPr="00EB6F8F">
        <w:rPr>
          <w:rFonts w:ascii="Arial" w:hAnsi="Arial" w:cs="Arial"/>
          <w:szCs w:val="22"/>
        </w:rPr>
        <w:t xml:space="preserve"> </w:t>
      </w:r>
      <w:r w:rsidR="00EB6F8F" w:rsidRPr="00EB6F8F">
        <w:rPr>
          <w:rFonts w:ascii="Arial" w:hAnsi="Arial" w:cs="Arial"/>
          <w:szCs w:val="22"/>
        </w:rPr>
        <w:t>2.00%</w:t>
      </w:r>
      <w:r w:rsidR="009729E0" w:rsidRPr="00EB6F8F">
        <w:rPr>
          <w:rFonts w:ascii="Arial" w:hAnsi="Arial" w:cs="Arial"/>
          <w:szCs w:val="22"/>
        </w:rPr>
        <w:t xml:space="preserve">     </w:t>
      </w:r>
    </w:p>
    <w:p w:rsidR="009729E0" w:rsidRDefault="009729E0" w:rsidP="00B6154C">
      <w:pPr>
        <w:numPr>
          <w:ilvl w:val="1"/>
          <w:numId w:val="1"/>
        </w:numPr>
        <w:rPr>
          <w:rFonts w:ascii="Arial" w:hAnsi="Arial" w:cs="Arial"/>
          <w:szCs w:val="22"/>
        </w:rPr>
      </w:pPr>
      <w:r>
        <w:rPr>
          <w:rFonts w:ascii="Arial" w:hAnsi="Arial" w:cs="Arial"/>
          <w:szCs w:val="22"/>
        </w:rPr>
        <w:t xml:space="preserve">Later years </w:t>
      </w:r>
      <w:r w:rsidR="00EB6F8F">
        <w:rPr>
          <w:rFonts w:ascii="Arial" w:hAnsi="Arial" w:cs="Arial"/>
          <w:szCs w:val="22"/>
        </w:rPr>
        <w:t>2.</w:t>
      </w:r>
      <w:r w:rsidR="00D93EF5">
        <w:rPr>
          <w:rFonts w:ascii="Arial" w:hAnsi="Arial" w:cs="Arial"/>
          <w:szCs w:val="22"/>
        </w:rPr>
        <w:t>50</w:t>
      </w:r>
      <w:r w:rsidR="00EB6F8F">
        <w:rPr>
          <w:rFonts w:ascii="Arial" w:hAnsi="Arial" w:cs="Arial"/>
          <w:szCs w:val="22"/>
        </w:rPr>
        <w:t>%</w:t>
      </w:r>
    </w:p>
    <w:p w:rsidR="005613DC" w:rsidRDefault="005613DC" w:rsidP="005804A2">
      <w:pPr>
        <w:rPr>
          <w:rFonts w:ascii="Arial" w:hAnsi="Arial" w:cs="Arial"/>
          <w:szCs w:val="22"/>
        </w:rPr>
      </w:pPr>
    </w:p>
    <w:p w:rsidR="00CC131A" w:rsidRDefault="00EB6F8F" w:rsidP="00EB6F8F">
      <w:pPr>
        <w:numPr>
          <w:ilvl w:val="0"/>
          <w:numId w:val="1"/>
        </w:numPr>
        <w:rPr>
          <w:rFonts w:ascii="Arial" w:hAnsi="Arial" w:cs="Arial"/>
          <w:noProof/>
        </w:rPr>
      </w:pPr>
      <w:r w:rsidRPr="00EB6F8F">
        <w:rPr>
          <w:rFonts w:ascii="Arial" w:hAnsi="Arial" w:cs="Arial"/>
          <w:noProof/>
        </w:rPr>
        <w:t>T</w:t>
      </w:r>
      <w:r w:rsidR="00CC131A">
        <w:rPr>
          <w:rFonts w:ascii="Arial" w:hAnsi="Arial" w:cs="Arial"/>
          <w:noProof/>
        </w:rPr>
        <w:t>he overall balance of risks to economic growth in the UK is probably neutral.</w:t>
      </w:r>
    </w:p>
    <w:p w:rsidR="00CC131A" w:rsidRDefault="00CC131A" w:rsidP="00CC131A">
      <w:pPr>
        <w:ind w:left="567"/>
        <w:rPr>
          <w:rFonts w:ascii="Arial" w:hAnsi="Arial" w:cs="Arial"/>
          <w:noProof/>
        </w:rPr>
      </w:pPr>
    </w:p>
    <w:p w:rsidR="00C100E4" w:rsidRDefault="00CC131A" w:rsidP="00EB6F8F">
      <w:pPr>
        <w:numPr>
          <w:ilvl w:val="0"/>
          <w:numId w:val="1"/>
        </w:numPr>
        <w:rPr>
          <w:rFonts w:ascii="Arial" w:hAnsi="Arial" w:cs="Arial"/>
          <w:noProof/>
        </w:rPr>
      </w:pPr>
      <w:r>
        <w:rPr>
          <w:rFonts w:ascii="Arial" w:hAnsi="Arial" w:cs="Arial"/>
          <w:noProof/>
        </w:rPr>
        <w:t>The balance of risks to increases in Bank Rate and shorter term PWLB rates are probably also even and are dependent on how strong GDP growth turns out, how slowly inflation pressures subside, and how quickly the Brexit negotiations move forward positively.</w:t>
      </w:r>
    </w:p>
    <w:p w:rsidR="00EB6F8F" w:rsidRDefault="00EB6F8F" w:rsidP="00EB6F8F">
      <w:pPr>
        <w:ind w:left="567"/>
        <w:rPr>
          <w:rFonts w:ascii="Arial" w:hAnsi="Arial" w:cs="Arial"/>
          <w:noProof/>
        </w:rPr>
      </w:pPr>
    </w:p>
    <w:p w:rsidR="00E542CC" w:rsidRPr="002D384D" w:rsidRDefault="00E542CC" w:rsidP="005804A2">
      <w:pPr>
        <w:rPr>
          <w:rFonts w:ascii="Arial" w:hAnsi="Arial" w:cs="Arial"/>
          <w:b/>
          <w:noProof/>
        </w:rPr>
      </w:pPr>
      <w:r w:rsidRPr="002D384D">
        <w:rPr>
          <w:rFonts w:ascii="Arial" w:hAnsi="Arial" w:cs="Arial"/>
          <w:b/>
          <w:noProof/>
        </w:rPr>
        <w:t xml:space="preserve">Investment treasury indicator and limit </w:t>
      </w:r>
    </w:p>
    <w:p w:rsidR="00E542CC" w:rsidRPr="002D384D" w:rsidRDefault="00E542CC" w:rsidP="005804A2">
      <w:pPr>
        <w:rPr>
          <w:rFonts w:ascii="Arial" w:hAnsi="Arial" w:cs="Arial"/>
          <w:b/>
          <w:noProof/>
        </w:rPr>
      </w:pPr>
    </w:p>
    <w:p w:rsidR="00E542CC" w:rsidRPr="00E542CC" w:rsidRDefault="00E542CC" w:rsidP="005804A2">
      <w:pPr>
        <w:numPr>
          <w:ilvl w:val="0"/>
          <w:numId w:val="1"/>
        </w:numPr>
        <w:rPr>
          <w:rFonts w:ascii="Arial" w:hAnsi="Arial" w:cs="Arial"/>
          <w:noProof/>
          <w:color w:val="000000"/>
          <w:szCs w:val="24"/>
        </w:rPr>
      </w:pPr>
      <w:r w:rsidRPr="00E542CC">
        <w:rPr>
          <w:rFonts w:ascii="Arial" w:hAnsi="Arial" w:cs="Arial"/>
          <w:noProof/>
          <w:color w:val="000000"/>
          <w:szCs w:val="24"/>
        </w:rPr>
        <w:t>Total principal fun</w:t>
      </w:r>
      <w:r w:rsidR="00EB6F8F">
        <w:rPr>
          <w:rFonts w:ascii="Arial" w:hAnsi="Arial" w:cs="Arial"/>
          <w:noProof/>
          <w:color w:val="000000"/>
          <w:szCs w:val="24"/>
        </w:rPr>
        <w:t>ds invested for greater than 365</w:t>
      </w:r>
      <w:r w:rsidRPr="00E542CC">
        <w:rPr>
          <w:rFonts w:ascii="Arial" w:hAnsi="Arial" w:cs="Arial"/>
          <w:noProof/>
          <w:color w:val="000000"/>
          <w:szCs w:val="24"/>
        </w:rPr>
        <w:t xml:space="preserve"> days. These limits are set with regard to the Council’s liquidity requirements and to reduce the need for early sale of an investment, and are based on the availability of funds after each year-end.</w:t>
      </w:r>
    </w:p>
    <w:p w:rsidR="00E542CC" w:rsidRPr="00E542CC" w:rsidRDefault="00E542CC" w:rsidP="005804A2">
      <w:pPr>
        <w:jc w:val="both"/>
        <w:rPr>
          <w:rFonts w:ascii="Arial" w:hAnsi="Arial" w:cs="Arial"/>
          <w:noProof/>
          <w:color w:val="000000"/>
          <w:szCs w:val="24"/>
        </w:rPr>
      </w:pPr>
    </w:p>
    <w:p w:rsidR="00E542CC" w:rsidRPr="00E542CC" w:rsidRDefault="00E542CC" w:rsidP="005804A2">
      <w:pPr>
        <w:numPr>
          <w:ilvl w:val="0"/>
          <w:numId w:val="1"/>
        </w:numPr>
        <w:rPr>
          <w:rFonts w:ascii="Arial" w:hAnsi="Arial" w:cs="Arial"/>
          <w:szCs w:val="24"/>
        </w:rPr>
      </w:pPr>
      <w:r w:rsidRPr="00E542CC">
        <w:rPr>
          <w:rFonts w:ascii="Arial" w:hAnsi="Arial" w:cs="Arial"/>
          <w:szCs w:val="24"/>
        </w:rPr>
        <w:t>The Council is asked to approve the treasury indicator and limit: -</w:t>
      </w:r>
    </w:p>
    <w:p w:rsidR="00E542CC" w:rsidRPr="00E542CC" w:rsidRDefault="00E542CC" w:rsidP="005804A2">
      <w:pPr>
        <w:rPr>
          <w:rFonts w:ascii="Arial" w:hAnsi="Arial" w:cs="Arial"/>
          <w:b/>
          <w:noProof/>
          <w:sz w:val="22"/>
          <w:szCs w:val="22"/>
        </w:rPr>
      </w:pPr>
    </w:p>
    <w:p w:rsidR="00E542CC" w:rsidRDefault="00E542CC" w:rsidP="005804A2">
      <w:pPr>
        <w:rPr>
          <w:rFonts w:ascii="Arial" w:hAnsi="Arial" w:cs="Arial"/>
          <w:b/>
          <w:noProof/>
          <w:sz w:val="22"/>
          <w:szCs w:val="22"/>
        </w:rPr>
      </w:pPr>
      <w:r w:rsidRPr="00E542CC">
        <w:rPr>
          <w:rFonts w:ascii="Arial" w:hAnsi="Arial" w:cs="Arial"/>
          <w:b/>
          <w:sz w:val="22"/>
          <w:szCs w:val="22"/>
        </w:rPr>
        <w:t>Tabl</w:t>
      </w:r>
      <w:r w:rsidR="007B6896">
        <w:rPr>
          <w:rFonts w:ascii="Arial" w:hAnsi="Arial" w:cs="Arial"/>
          <w:b/>
          <w:noProof/>
          <w:sz w:val="22"/>
          <w:szCs w:val="22"/>
        </w:rPr>
        <w:t>e 1</w:t>
      </w:r>
      <w:r w:rsidR="00BC3DA3">
        <w:rPr>
          <w:rFonts w:ascii="Arial" w:hAnsi="Arial" w:cs="Arial"/>
          <w:b/>
          <w:noProof/>
          <w:sz w:val="22"/>
          <w:szCs w:val="22"/>
        </w:rPr>
        <w:t>4</w:t>
      </w:r>
      <w:r w:rsidRPr="00E542CC">
        <w:rPr>
          <w:rFonts w:ascii="Arial" w:hAnsi="Arial" w:cs="Arial"/>
          <w:b/>
          <w:noProof/>
          <w:sz w:val="22"/>
          <w:szCs w:val="22"/>
        </w:rPr>
        <w:t xml:space="preserve"> – Maximum Principal sums invested</w:t>
      </w:r>
    </w:p>
    <w:p w:rsidR="002D384D" w:rsidRPr="00E542CC" w:rsidRDefault="002D384D" w:rsidP="005804A2">
      <w:pPr>
        <w:rPr>
          <w:rFonts w:ascii="Arial" w:hAnsi="Arial" w:cs="Arial"/>
          <w:b/>
          <w:noProof/>
          <w:sz w:val="22"/>
          <w:szCs w:val="22"/>
        </w:rPr>
      </w:pPr>
    </w:p>
    <w:tbl>
      <w:tblPr>
        <w:tblW w:w="85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800"/>
        <w:gridCol w:w="1980"/>
        <w:gridCol w:w="1800"/>
      </w:tblGrid>
      <w:tr w:rsidR="00E542CC" w:rsidRPr="00E542CC" w:rsidTr="00F62B3E">
        <w:trPr>
          <w:cantSplit/>
        </w:trPr>
        <w:tc>
          <w:tcPr>
            <w:tcW w:w="2988" w:type="dxa"/>
            <w:shd w:val="clear" w:color="auto" w:fill="D9D9D9"/>
          </w:tcPr>
          <w:p w:rsidR="00E542CC" w:rsidRPr="00E542CC" w:rsidRDefault="00E542CC" w:rsidP="005804A2">
            <w:pPr>
              <w:pStyle w:val="BodyText"/>
              <w:spacing w:after="0"/>
              <w:jc w:val="center"/>
              <w:rPr>
                <w:rFonts w:ascii="Arial" w:hAnsi="Arial" w:cs="Arial"/>
                <w:b/>
                <w:bCs/>
                <w:sz w:val="22"/>
                <w:szCs w:val="22"/>
              </w:rPr>
            </w:pPr>
          </w:p>
        </w:tc>
        <w:tc>
          <w:tcPr>
            <w:tcW w:w="1800" w:type="dxa"/>
            <w:shd w:val="clear" w:color="auto" w:fill="D9D9D9"/>
          </w:tcPr>
          <w:p w:rsidR="00E542CC" w:rsidRPr="00E542CC" w:rsidRDefault="005E0BEF" w:rsidP="00382D05">
            <w:pPr>
              <w:pStyle w:val="BodyText"/>
              <w:spacing w:after="0"/>
              <w:jc w:val="center"/>
              <w:rPr>
                <w:rFonts w:ascii="Arial" w:hAnsi="Arial" w:cs="Arial"/>
                <w:b/>
                <w:bCs/>
                <w:sz w:val="22"/>
                <w:szCs w:val="22"/>
              </w:rPr>
            </w:pPr>
            <w:r>
              <w:rPr>
                <w:rFonts w:ascii="Arial" w:hAnsi="Arial" w:cs="Arial"/>
                <w:b/>
                <w:bCs/>
                <w:sz w:val="22"/>
                <w:szCs w:val="22"/>
              </w:rPr>
              <w:t>201</w:t>
            </w:r>
            <w:r w:rsidR="00382D05">
              <w:rPr>
                <w:rFonts w:ascii="Arial" w:hAnsi="Arial" w:cs="Arial"/>
                <w:b/>
                <w:bCs/>
                <w:sz w:val="22"/>
                <w:szCs w:val="22"/>
              </w:rPr>
              <w:t>9</w:t>
            </w:r>
            <w:r w:rsidR="006961A0">
              <w:rPr>
                <w:rFonts w:ascii="Arial" w:hAnsi="Arial" w:cs="Arial"/>
                <w:b/>
                <w:bCs/>
                <w:sz w:val="22"/>
                <w:szCs w:val="22"/>
              </w:rPr>
              <w:t>/</w:t>
            </w:r>
            <w:r w:rsidR="00382D05">
              <w:rPr>
                <w:rFonts w:ascii="Arial" w:hAnsi="Arial" w:cs="Arial"/>
                <w:b/>
                <w:bCs/>
                <w:sz w:val="22"/>
                <w:szCs w:val="22"/>
              </w:rPr>
              <w:t>20</w:t>
            </w:r>
          </w:p>
        </w:tc>
        <w:tc>
          <w:tcPr>
            <w:tcW w:w="1980" w:type="dxa"/>
            <w:shd w:val="clear" w:color="auto" w:fill="D9D9D9"/>
          </w:tcPr>
          <w:p w:rsidR="00E542CC" w:rsidRPr="00E542CC" w:rsidRDefault="005E0BEF" w:rsidP="00382D05">
            <w:pPr>
              <w:pStyle w:val="BodyText"/>
              <w:spacing w:after="0"/>
              <w:jc w:val="center"/>
              <w:rPr>
                <w:rFonts w:ascii="Arial" w:hAnsi="Arial" w:cs="Arial"/>
                <w:b/>
                <w:bCs/>
                <w:sz w:val="22"/>
                <w:szCs w:val="22"/>
              </w:rPr>
            </w:pPr>
            <w:r>
              <w:rPr>
                <w:rFonts w:ascii="Arial" w:hAnsi="Arial" w:cs="Arial"/>
                <w:b/>
                <w:bCs/>
                <w:sz w:val="22"/>
                <w:szCs w:val="22"/>
              </w:rPr>
              <w:t>20</w:t>
            </w:r>
            <w:r w:rsidR="00382D05">
              <w:rPr>
                <w:rFonts w:ascii="Arial" w:hAnsi="Arial" w:cs="Arial"/>
                <w:b/>
                <w:bCs/>
                <w:sz w:val="22"/>
                <w:szCs w:val="22"/>
              </w:rPr>
              <w:t>20</w:t>
            </w:r>
            <w:r w:rsidR="006961A0">
              <w:rPr>
                <w:rFonts w:ascii="Arial" w:hAnsi="Arial" w:cs="Arial"/>
                <w:b/>
                <w:bCs/>
                <w:sz w:val="22"/>
                <w:szCs w:val="22"/>
              </w:rPr>
              <w:t>/2</w:t>
            </w:r>
            <w:r w:rsidR="00382D05">
              <w:rPr>
                <w:rFonts w:ascii="Arial" w:hAnsi="Arial" w:cs="Arial"/>
                <w:b/>
                <w:bCs/>
                <w:sz w:val="22"/>
                <w:szCs w:val="22"/>
              </w:rPr>
              <w:t>1</w:t>
            </w:r>
          </w:p>
        </w:tc>
        <w:tc>
          <w:tcPr>
            <w:tcW w:w="1800" w:type="dxa"/>
            <w:shd w:val="clear" w:color="auto" w:fill="D9D9D9"/>
          </w:tcPr>
          <w:p w:rsidR="00E542CC" w:rsidRPr="00E542CC" w:rsidRDefault="005613DC" w:rsidP="00382D05">
            <w:pPr>
              <w:pStyle w:val="BodyText"/>
              <w:spacing w:after="0"/>
              <w:jc w:val="center"/>
              <w:rPr>
                <w:rFonts w:ascii="Arial" w:hAnsi="Arial" w:cs="Arial"/>
                <w:b/>
                <w:bCs/>
                <w:sz w:val="22"/>
                <w:szCs w:val="22"/>
              </w:rPr>
            </w:pPr>
            <w:r>
              <w:rPr>
                <w:rFonts w:ascii="Arial" w:hAnsi="Arial" w:cs="Arial"/>
                <w:b/>
                <w:bCs/>
                <w:sz w:val="22"/>
                <w:szCs w:val="22"/>
              </w:rPr>
              <w:t>20</w:t>
            </w:r>
            <w:r w:rsidR="006961A0">
              <w:rPr>
                <w:rFonts w:ascii="Arial" w:hAnsi="Arial" w:cs="Arial"/>
                <w:b/>
                <w:bCs/>
                <w:sz w:val="22"/>
                <w:szCs w:val="22"/>
              </w:rPr>
              <w:t>2</w:t>
            </w:r>
            <w:r w:rsidR="00382D05">
              <w:rPr>
                <w:rFonts w:ascii="Arial" w:hAnsi="Arial" w:cs="Arial"/>
                <w:b/>
                <w:bCs/>
                <w:sz w:val="22"/>
                <w:szCs w:val="22"/>
              </w:rPr>
              <w:t>1</w:t>
            </w:r>
            <w:r w:rsidR="006961A0">
              <w:rPr>
                <w:rFonts w:ascii="Arial" w:hAnsi="Arial" w:cs="Arial"/>
                <w:b/>
                <w:bCs/>
                <w:sz w:val="22"/>
                <w:szCs w:val="22"/>
              </w:rPr>
              <w:t>/2</w:t>
            </w:r>
            <w:r w:rsidR="00382D05">
              <w:rPr>
                <w:rFonts w:ascii="Arial" w:hAnsi="Arial" w:cs="Arial"/>
                <w:b/>
                <w:bCs/>
                <w:sz w:val="22"/>
                <w:szCs w:val="22"/>
              </w:rPr>
              <w:t>2</w:t>
            </w:r>
          </w:p>
        </w:tc>
      </w:tr>
      <w:tr w:rsidR="00E542CC" w:rsidRPr="00E542CC" w:rsidTr="00F62B3E">
        <w:tc>
          <w:tcPr>
            <w:tcW w:w="2988" w:type="dxa"/>
          </w:tcPr>
          <w:p w:rsidR="00E542CC" w:rsidRPr="00E542CC" w:rsidRDefault="00E542CC" w:rsidP="005804A2">
            <w:pPr>
              <w:pStyle w:val="BodyText"/>
              <w:spacing w:after="0"/>
              <w:rPr>
                <w:rFonts w:ascii="Arial" w:hAnsi="Arial" w:cs="Arial"/>
                <w:bCs/>
                <w:sz w:val="22"/>
                <w:szCs w:val="22"/>
              </w:rPr>
            </w:pPr>
            <w:r w:rsidRPr="00E542CC">
              <w:rPr>
                <w:rFonts w:ascii="Arial" w:hAnsi="Arial" w:cs="Arial"/>
                <w:bCs/>
                <w:sz w:val="22"/>
                <w:szCs w:val="22"/>
              </w:rPr>
              <w:t>Principa</w:t>
            </w:r>
            <w:r w:rsidR="00EB6F8F">
              <w:rPr>
                <w:rFonts w:ascii="Arial" w:hAnsi="Arial" w:cs="Arial"/>
                <w:bCs/>
                <w:sz w:val="22"/>
                <w:szCs w:val="22"/>
              </w:rPr>
              <w:t>l sums invested greater than 365</w:t>
            </w:r>
            <w:r w:rsidRPr="00E542CC">
              <w:rPr>
                <w:rFonts w:ascii="Arial" w:hAnsi="Arial" w:cs="Arial"/>
                <w:bCs/>
                <w:sz w:val="22"/>
                <w:szCs w:val="22"/>
              </w:rPr>
              <w:t xml:space="preserve"> days</w:t>
            </w:r>
          </w:p>
        </w:tc>
        <w:tc>
          <w:tcPr>
            <w:tcW w:w="1800" w:type="dxa"/>
            <w:vAlign w:val="center"/>
          </w:tcPr>
          <w:p w:rsidR="00E542CC" w:rsidRPr="00E542CC" w:rsidRDefault="00FC5F49" w:rsidP="005804A2">
            <w:pPr>
              <w:pStyle w:val="BodyText"/>
              <w:spacing w:after="0"/>
              <w:jc w:val="center"/>
              <w:rPr>
                <w:rFonts w:ascii="Arial" w:hAnsi="Arial" w:cs="Arial"/>
                <w:sz w:val="22"/>
                <w:szCs w:val="22"/>
              </w:rPr>
            </w:pPr>
            <w:r>
              <w:rPr>
                <w:rFonts w:ascii="Arial" w:hAnsi="Arial" w:cs="Arial"/>
                <w:sz w:val="22"/>
                <w:szCs w:val="22"/>
              </w:rPr>
              <w:t>£50</w:t>
            </w:r>
            <w:r w:rsidR="00382D05">
              <w:rPr>
                <w:rFonts w:ascii="Arial" w:hAnsi="Arial" w:cs="Arial"/>
                <w:sz w:val="22"/>
                <w:szCs w:val="22"/>
              </w:rPr>
              <w:t>m</w:t>
            </w:r>
          </w:p>
        </w:tc>
        <w:tc>
          <w:tcPr>
            <w:tcW w:w="1980" w:type="dxa"/>
            <w:vAlign w:val="center"/>
          </w:tcPr>
          <w:p w:rsidR="00E542CC" w:rsidRPr="00E542CC" w:rsidRDefault="00FC5F49" w:rsidP="005804A2">
            <w:pPr>
              <w:pStyle w:val="BodyText"/>
              <w:spacing w:after="0"/>
              <w:jc w:val="center"/>
              <w:rPr>
                <w:rFonts w:ascii="Arial" w:hAnsi="Arial" w:cs="Arial"/>
                <w:sz w:val="22"/>
                <w:szCs w:val="22"/>
              </w:rPr>
            </w:pPr>
            <w:r>
              <w:rPr>
                <w:rFonts w:ascii="Arial" w:hAnsi="Arial" w:cs="Arial"/>
                <w:sz w:val="22"/>
                <w:szCs w:val="22"/>
              </w:rPr>
              <w:t>£50</w:t>
            </w:r>
            <w:r w:rsidR="00382D05">
              <w:rPr>
                <w:rFonts w:ascii="Arial" w:hAnsi="Arial" w:cs="Arial"/>
                <w:sz w:val="22"/>
                <w:szCs w:val="22"/>
              </w:rPr>
              <w:t>m</w:t>
            </w:r>
          </w:p>
        </w:tc>
        <w:tc>
          <w:tcPr>
            <w:tcW w:w="1800" w:type="dxa"/>
            <w:vAlign w:val="center"/>
          </w:tcPr>
          <w:p w:rsidR="00E542CC" w:rsidRPr="00E542CC" w:rsidRDefault="00FC5F49" w:rsidP="005804A2">
            <w:pPr>
              <w:pStyle w:val="BodyText"/>
              <w:spacing w:after="0"/>
              <w:jc w:val="center"/>
              <w:rPr>
                <w:rFonts w:ascii="Arial" w:hAnsi="Arial" w:cs="Arial"/>
                <w:sz w:val="22"/>
                <w:szCs w:val="22"/>
              </w:rPr>
            </w:pPr>
            <w:r>
              <w:rPr>
                <w:rFonts w:ascii="Arial" w:hAnsi="Arial" w:cs="Arial"/>
                <w:sz w:val="22"/>
                <w:szCs w:val="22"/>
              </w:rPr>
              <w:t>£50</w:t>
            </w:r>
            <w:r w:rsidR="00382D05">
              <w:rPr>
                <w:rFonts w:ascii="Arial" w:hAnsi="Arial" w:cs="Arial"/>
                <w:sz w:val="22"/>
                <w:szCs w:val="22"/>
              </w:rPr>
              <w:t>m</w:t>
            </w:r>
          </w:p>
        </w:tc>
      </w:tr>
    </w:tbl>
    <w:p w:rsidR="00D42C71" w:rsidRDefault="00D42C71" w:rsidP="005804A2">
      <w:pPr>
        <w:rPr>
          <w:rFonts w:ascii="Arial" w:hAnsi="Arial" w:cs="Arial"/>
          <w:szCs w:val="22"/>
        </w:rPr>
      </w:pPr>
    </w:p>
    <w:p w:rsidR="00E542CC" w:rsidRPr="00E542CC" w:rsidRDefault="00E542CC" w:rsidP="005804A2">
      <w:pPr>
        <w:numPr>
          <w:ilvl w:val="0"/>
          <w:numId w:val="1"/>
        </w:numPr>
        <w:rPr>
          <w:rFonts w:ascii="Arial" w:hAnsi="Arial" w:cs="Arial"/>
          <w:noProof/>
          <w:szCs w:val="24"/>
          <w:lang w:eastAsia="en-GB"/>
        </w:rPr>
      </w:pPr>
      <w:r w:rsidRPr="00E542CC">
        <w:rPr>
          <w:rFonts w:ascii="Arial" w:hAnsi="Arial" w:cs="Arial"/>
          <w:noProof/>
          <w:szCs w:val="24"/>
          <w:lang w:eastAsia="en-GB"/>
        </w:rPr>
        <w:t>For its cash flow generated balances, the Council will seek</w:t>
      </w:r>
      <w:r w:rsidR="00EA4D0A">
        <w:rPr>
          <w:rFonts w:ascii="Arial" w:hAnsi="Arial" w:cs="Arial"/>
          <w:noProof/>
          <w:szCs w:val="24"/>
          <w:lang w:eastAsia="en-GB"/>
        </w:rPr>
        <w:t xml:space="preserve"> to utilise its </w:t>
      </w:r>
      <w:r w:rsidR="0036534E">
        <w:rPr>
          <w:rFonts w:ascii="Arial" w:hAnsi="Arial" w:cs="Arial"/>
          <w:noProof/>
          <w:szCs w:val="24"/>
          <w:lang w:eastAsia="en-GB"/>
        </w:rPr>
        <w:t>instant access</w:t>
      </w:r>
      <w:r w:rsidRPr="00E542CC">
        <w:rPr>
          <w:rFonts w:ascii="Arial" w:hAnsi="Arial" w:cs="Arial"/>
          <w:noProof/>
          <w:szCs w:val="24"/>
          <w:lang w:eastAsia="en-GB"/>
        </w:rPr>
        <w:t xml:space="preserve"> accounts, 15 and 30 day notice accounts, money market funds and short-dated deposits (overnight to three months) in order to benefit from the compounding of interest.  </w:t>
      </w:r>
    </w:p>
    <w:p w:rsidR="00D42C71" w:rsidRDefault="00D42C71" w:rsidP="005804A2">
      <w:pPr>
        <w:rPr>
          <w:rFonts w:ascii="Arial" w:hAnsi="Arial" w:cs="Arial"/>
          <w:szCs w:val="22"/>
        </w:rPr>
      </w:pPr>
    </w:p>
    <w:p w:rsidR="00B95B8F" w:rsidRDefault="00B95B8F" w:rsidP="005804A2">
      <w:pPr>
        <w:tabs>
          <w:tab w:val="left" w:pos="360"/>
        </w:tabs>
        <w:jc w:val="both"/>
        <w:rPr>
          <w:rFonts w:ascii="Arial" w:hAnsi="Arial" w:cs="Arial"/>
          <w:b/>
          <w:szCs w:val="24"/>
        </w:rPr>
      </w:pPr>
    </w:p>
    <w:p w:rsidR="00B95B8F" w:rsidRDefault="00B95B8F" w:rsidP="005804A2">
      <w:pPr>
        <w:tabs>
          <w:tab w:val="left" w:pos="360"/>
        </w:tabs>
        <w:jc w:val="both"/>
        <w:rPr>
          <w:rFonts w:ascii="Arial" w:hAnsi="Arial" w:cs="Arial"/>
          <w:b/>
          <w:szCs w:val="24"/>
        </w:rPr>
      </w:pPr>
    </w:p>
    <w:p w:rsidR="00F03B67" w:rsidRPr="00F03B67" w:rsidRDefault="00F03B67" w:rsidP="005804A2">
      <w:pPr>
        <w:tabs>
          <w:tab w:val="left" w:pos="360"/>
        </w:tabs>
        <w:jc w:val="both"/>
        <w:rPr>
          <w:rFonts w:ascii="Arial" w:hAnsi="Arial" w:cs="Arial"/>
          <w:b/>
          <w:szCs w:val="24"/>
        </w:rPr>
      </w:pPr>
      <w:r w:rsidRPr="00F03B67">
        <w:rPr>
          <w:rFonts w:ascii="Arial" w:hAnsi="Arial" w:cs="Arial"/>
          <w:b/>
          <w:szCs w:val="24"/>
        </w:rPr>
        <w:t xml:space="preserve">Investment Risk Benchmarking </w:t>
      </w:r>
    </w:p>
    <w:p w:rsidR="00F03B67" w:rsidRPr="00F03B67" w:rsidRDefault="00F03B67" w:rsidP="005804A2">
      <w:pPr>
        <w:tabs>
          <w:tab w:val="left" w:pos="360"/>
        </w:tabs>
        <w:jc w:val="both"/>
        <w:rPr>
          <w:rFonts w:ascii="Arial" w:hAnsi="Arial" w:cs="Arial"/>
          <w:b/>
          <w:szCs w:val="24"/>
        </w:rPr>
      </w:pPr>
    </w:p>
    <w:p w:rsidR="00F03B67" w:rsidRPr="00F03B67" w:rsidRDefault="00F03B67" w:rsidP="005804A2">
      <w:pPr>
        <w:numPr>
          <w:ilvl w:val="0"/>
          <w:numId w:val="1"/>
        </w:numPr>
        <w:rPr>
          <w:rFonts w:ascii="Arial" w:hAnsi="Arial" w:cs="Arial"/>
          <w:iCs/>
          <w:szCs w:val="24"/>
        </w:rPr>
      </w:pPr>
      <w:r w:rsidRPr="00F03B67">
        <w:rPr>
          <w:rFonts w:ascii="Arial" w:hAnsi="Arial" w:cs="Arial"/>
          <w:iCs/>
          <w:szCs w:val="24"/>
        </w:rPr>
        <w:t xml:space="preserve">These benchmarks are simple guides to maximum risk, so they may be breached from time to time, depending on movements in interest rates and counterparty criteria.  </w:t>
      </w:r>
      <w:r w:rsidR="008A6629">
        <w:rPr>
          <w:rFonts w:ascii="Arial" w:hAnsi="Arial" w:cs="Arial"/>
          <w:iCs/>
          <w:szCs w:val="24"/>
        </w:rPr>
        <w:t xml:space="preserve">They relate to Investments that are not Property Funds. </w:t>
      </w:r>
      <w:r w:rsidRPr="00F03B67">
        <w:rPr>
          <w:rFonts w:ascii="Arial" w:hAnsi="Arial" w:cs="Arial"/>
          <w:iCs/>
          <w:szCs w:val="24"/>
        </w:rPr>
        <w:t>The purpose of the benchmark is that officers will monitor the current and trend position and amend the operational strategy to manage risk as conditions change.  Any breach of the benchmarks will be reported, with supporting reasons in the Mid-Year or Annual Report.</w:t>
      </w:r>
    </w:p>
    <w:p w:rsidR="00F03B67" w:rsidRPr="001D69FE" w:rsidRDefault="00F03B67" w:rsidP="005804A2">
      <w:pPr>
        <w:rPr>
          <w:rFonts w:ascii="Times" w:hAnsi="Times" w:cs="Arial"/>
          <w:iCs/>
          <w:szCs w:val="24"/>
        </w:rPr>
      </w:pPr>
    </w:p>
    <w:p w:rsidR="00F03B67" w:rsidRDefault="00F03B67" w:rsidP="005804A2">
      <w:pPr>
        <w:numPr>
          <w:ilvl w:val="0"/>
          <w:numId w:val="1"/>
        </w:numPr>
        <w:rPr>
          <w:rFonts w:ascii="Arial" w:hAnsi="Arial" w:cs="Arial"/>
          <w:szCs w:val="24"/>
        </w:rPr>
      </w:pPr>
      <w:r w:rsidRPr="00F03B67">
        <w:rPr>
          <w:rFonts w:ascii="Arial" w:hAnsi="Arial" w:cs="Arial"/>
          <w:iCs/>
          <w:szCs w:val="24"/>
        </w:rPr>
        <w:t>Security</w:t>
      </w:r>
      <w:r w:rsidRPr="00F03B67">
        <w:rPr>
          <w:rFonts w:ascii="Arial" w:hAnsi="Arial" w:cs="Arial"/>
          <w:szCs w:val="24"/>
        </w:rPr>
        <w:t xml:space="preserve"> - The Council’s maximum security risk benchmark for the current portfolio, when compared to these historic default tables, is:</w:t>
      </w:r>
      <w:r w:rsidR="00B6154C">
        <w:rPr>
          <w:rFonts w:ascii="Arial" w:hAnsi="Arial" w:cs="Arial"/>
          <w:szCs w:val="24"/>
        </w:rPr>
        <w:br/>
      </w:r>
    </w:p>
    <w:p w:rsidR="00F03B67" w:rsidRDefault="00F03B67" w:rsidP="00B6154C">
      <w:pPr>
        <w:ind w:left="907"/>
        <w:rPr>
          <w:rFonts w:ascii="Arial" w:hAnsi="Arial" w:cs="Arial"/>
          <w:bCs/>
          <w:color w:val="000000"/>
        </w:rPr>
      </w:pPr>
      <w:r w:rsidRPr="005E2D73">
        <w:rPr>
          <w:rFonts w:ascii="Arial" w:hAnsi="Arial" w:cs="Arial"/>
          <w:bCs/>
          <w:iCs/>
          <w:color w:val="000000"/>
        </w:rPr>
        <w:t>0.077</w:t>
      </w:r>
      <w:r w:rsidRPr="005E2D73">
        <w:rPr>
          <w:rFonts w:ascii="Arial" w:hAnsi="Arial" w:cs="Arial"/>
          <w:bCs/>
          <w:color w:val="000000"/>
        </w:rPr>
        <w:t>%</w:t>
      </w:r>
      <w:r w:rsidRPr="00B6154C">
        <w:rPr>
          <w:rFonts w:ascii="Arial" w:hAnsi="Arial" w:cs="Arial"/>
          <w:bCs/>
          <w:color w:val="000000"/>
        </w:rPr>
        <w:t xml:space="preserve"> historic risk of default when compared to the whole portfolio.</w:t>
      </w:r>
    </w:p>
    <w:p w:rsidR="00B6154C" w:rsidRPr="00B6154C" w:rsidRDefault="00B6154C" w:rsidP="00B6154C">
      <w:pPr>
        <w:ind w:left="907"/>
        <w:rPr>
          <w:rFonts w:ascii="Arial" w:hAnsi="Arial" w:cs="Arial"/>
          <w:szCs w:val="24"/>
        </w:rPr>
      </w:pPr>
    </w:p>
    <w:p w:rsidR="00F03B67" w:rsidRDefault="00F03B67" w:rsidP="005804A2">
      <w:pPr>
        <w:numPr>
          <w:ilvl w:val="0"/>
          <w:numId w:val="1"/>
        </w:numPr>
        <w:rPr>
          <w:rFonts w:ascii="Arial" w:hAnsi="Arial" w:cs="Arial"/>
          <w:iCs/>
          <w:color w:val="000000"/>
          <w:szCs w:val="24"/>
        </w:rPr>
      </w:pPr>
      <w:r w:rsidRPr="00F03B67">
        <w:rPr>
          <w:rFonts w:ascii="Arial" w:hAnsi="Arial" w:cs="Arial"/>
          <w:iCs/>
          <w:color w:val="000000"/>
          <w:szCs w:val="24"/>
        </w:rPr>
        <w:t>Liquidity – in respect of this area the Council seeks to maintain:</w:t>
      </w:r>
      <w:r w:rsidR="00B6154C">
        <w:rPr>
          <w:rFonts w:ascii="Arial" w:hAnsi="Arial" w:cs="Arial"/>
          <w:iCs/>
          <w:color w:val="000000"/>
          <w:szCs w:val="24"/>
        </w:rPr>
        <w:br/>
      </w:r>
    </w:p>
    <w:p w:rsidR="00F03B67" w:rsidRPr="00B6154C" w:rsidRDefault="00F03B67" w:rsidP="00B6154C">
      <w:pPr>
        <w:numPr>
          <w:ilvl w:val="1"/>
          <w:numId w:val="1"/>
        </w:numPr>
        <w:rPr>
          <w:rFonts w:ascii="Arial" w:hAnsi="Arial" w:cs="Arial"/>
          <w:iCs/>
          <w:color w:val="000000"/>
          <w:szCs w:val="24"/>
        </w:rPr>
      </w:pPr>
      <w:r w:rsidRPr="00B6154C">
        <w:rPr>
          <w:rFonts w:ascii="Arial" w:hAnsi="Arial" w:cs="Arial"/>
          <w:iCs/>
          <w:color w:val="000000"/>
          <w:szCs w:val="24"/>
        </w:rPr>
        <w:t>Bank overdraft - £</w:t>
      </w:r>
      <w:r w:rsidRPr="005E2D73">
        <w:rPr>
          <w:rFonts w:ascii="Arial" w:hAnsi="Arial" w:cs="Arial"/>
          <w:iCs/>
          <w:color w:val="000000"/>
          <w:szCs w:val="24"/>
        </w:rPr>
        <w:t>0.100m</w:t>
      </w:r>
      <w:r w:rsidR="00F11F4E" w:rsidRPr="00B6154C">
        <w:rPr>
          <w:rFonts w:ascii="Arial" w:hAnsi="Arial" w:cs="Arial"/>
          <w:iCs/>
          <w:color w:val="000000"/>
          <w:szCs w:val="24"/>
        </w:rPr>
        <w:br/>
      </w:r>
    </w:p>
    <w:p w:rsidR="00F03B67" w:rsidRPr="00F03B67" w:rsidRDefault="00F03B67" w:rsidP="00B6154C">
      <w:pPr>
        <w:numPr>
          <w:ilvl w:val="1"/>
          <w:numId w:val="1"/>
        </w:numPr>
        <w:rPr>
          <w:rFonts w:ascii="Arial" w:hAnsi="Arial" w:cs="Arial"/>
          <w:color w:val="000000"/>
          <w:szCs w:val="24"/>
        </w:rPr>
      </w:pPr>
      <w:r w:rsidRPr="00F03B67">
        <w:rPr>
          <w:rFonts w:ascii="Arial" w:hAnsi="Arial" w:cs="Arial"/>
          <w:iCs/>
          <w:color w:val="000000"/>
          <w:szCs w:val="24"/>
        </w:rPr>
        <w:t xml:space="preserve">Liquid short term deposits of at least </w:t>
      </w:r>
      <w:r w:rsidRPr="005E2D73">
        <w:rPr>
          <w:rFonts w:ascii="Arial" w:hAnsi="Arial" w:cs="Arial"/>
          <w:iCs/>
          <w:color w:val="000000"/>
          <w:szCs w:val="24"/>
        </w:rPr>
        <w:t>£3.000m</w:t>
      </w:r>
      <w:r w:rsidR="00F11F4E">
        <w:rPr>
          <w:rFonts w:ascii="Arial" w:hAnsi="Arial" w:cs="Arial"/>
          <w:iCs/>
          <w:color w:val="000000"/>
          <w:szCs w:val="24"/>
        </w:rPr>
        <w:t xml:space="preserve"> available with a week’s notice</w:t>
      </w:r>
      <w:r w:rsidR="00F11F4E">
        <w:rPr>
          <w:rFonts w:ascii="Arial" w:hAnsi="Arial" w:cs="Arial"/>
          <w:iCs/>
          <w:color w:val="000000"/>
          <w:szCs w:val="24"/>
        </w:rPr>
        <w:br/>
      </w:r>
    </w:p>
    <w:p w:rsidR="00F03B67" w:rsidRPr="00112665" w:rsidRDefault="00F03B67" w:rsidP="00B6154C">
      <w:pPr>
        <w:numPr>
          <w:ilvl w:val="1"/>
          <w:numId w:val="1"/>
        </w:numPr>
        <w:rPr>
          <w:rFonts w:ascii="Arial" w:hAnsi="Arial" w:cs="Arial"/>
          <w:iCs/>
          <w:color w:val="000000"/>
          <w:szCs w:val="24"/>
        </w:rPr>
      </w:pPr>
      <w:r w:rsidRPr="00112665">
        <w:rPr>
          <w:rFonts w:ascii="Arial" w:hAnsi="Arial" w:cs="Arial"/>
          <w:iCs/>
          <w:color w:val="000000"/>
          <w:szCs w:val="24"/>
        </w:rPr>
        <w:t>Weighted Average Lif</w:t>
      </w:r>
      <w:r w:rsidR="00FC5F49">
        <w:rPr>
          <w:rFonts w:ascii="Arial" w:hAnsi="Arial" w:cs="Arial"/>
          <w:iCs/>
          <w:color w:val="000000"/>
          <w:szCs w:val="24"/>
        </w:rPr>
        <w:t xml:space="preserve">e benchmark is expected to be </w:t>
      </w:r>
      <w:r w:rsidR="00FC5F49" w:rsidRPr="005E2D73">
        <w:rPr>
          <w:rFonts w:ascii="Arial" w:hAnsi="Arial" w:cs="Arial"/>
          <w:iCs/>
          <w:color w:val="000000"/>
          <w:szCs w:val="24"/>
        </w:rPr>
        <w:t>1</w:t>
      </w:r>
      <w:r w:rsidRPr="00112665">
        <w:rPr>
          <w:rFonts w:ascii="Arial" w:hAnsi="Arial" w:cs="Arial"/>
          <w:iCs/>
          <w:color w:val="000000"/>
          <w:szCs w:val="24"/>
        </w:rPr>
        <w:t xml:space="preserve"> </w:t>
      </w:r>
      <w:r w:rsidR="0023319C">
        <w:rPr>
          <w:rFonts w:ascii="Arial" w:hAnsi="Arial" w:cs="Arial"/>
          <w:iCs/>
          <w:color w:val="000000"/>
          <w:szCs w:val="24"/>
        </w:rPr>
        <w:t>year</w:t>
      </w:r>
      <w:r w:rsidR="00CA4099">
        <w:rPr>
          <w:rFonts w:ascii="Arial" w:hAnsi="Arial" w:cs="Arial"/>
          <w:iCs/>
          <w:color w:val="000000"/>
          <w:szCs w:val="24"/>
        </w:rPr>
        <w:t>.</w:t>
      </w:r>
    </w:p>
    <w:p w:rsidR="002D384D" w:rsidRPr="00F03B67" w:rsidRDefault="002D384D" w:rsidP="005804A2">
      <w:pPr>
        <w:ind w:left="908"/>
        <w:rPr>
          <w:rFonts w:ascii="Arial" w:hAnsi="Arial" w:cs="Arial"/>
          <w:iCs/>
          <w:color w:val="000000"/>
          <w:szCs w:val="24"/>
        </w:rPr>
      </w:pPr>
    </w:p>
    <w:p w:rsidR="00F03B67" w:rsidRDefault="00F03B67" w:rsidP="005804A2">
      <w:pPr>
        <w:numPr>
          <w:ilvl w:val="0"/>
          <w:numId w:val="1"/>
        </w:numPr>
        <w:rPr>
          <w:rFonts w:ascii="Arial" w:hAnsi="Arial" w:cs="Arial"/>
          <w:iCs/>
          <w:szCs w:val="24"/>
        </w:rPr>
      </w:pPr>
      <w:r w:rsidRPr="00F03B67">
        <w:rPr>
          <w:rFonts w:ascii="Arial" w:hAnsi="Arial" w:cs="Arial"/>
          <w:iCs/>
          <w:szCs w:val="24"/>
        </w:rPr>
        <w:t>Yield</w:t>
      </w:r>
      <w:r w:rsidRPr="00F03B67">
        <w:rPr>
          <w:rFonts w:ascii="Arial" w:hAnsi="Arial" w:cs="Arial"/>
          <w:b/>
          <w:iCs/>
          <w:szCs w:val="24"/>
        </w:rPr>
        <w:t xml:space="preserve"> </w:t>
      </w:r>
      <w:r w:rsidRPr="00F03B67">
        <w:rPr>
          <w:rFonts w:ascii="Arial" w:hAnsi="Arial" w:cs="Arial"/>
          <w:iCs/>
          <w:szCs w:val="24"/>
        </w:rPr>
        <w:t>- local m</w:t>
      </w:r>
      <w:r w:rsidR="002D384D">
        <w:rPr>
          <w:rFonts w:ascii="Arial" w:hAnsi="Arial" w:cs="Arial"/>
          <w:iCs/>
          <w:szCs w:val="24"/>
        </w:rPr>
        <w:t>easures of yield benchmarks are:</w:t>
      </w:r>
    </w:p>
    <w:p w:rsidR="002D384D" w:rsidRPr="00F03B67" w:rsidRDefault="002D384D" w:rsidP="005804A2">
      <w:pPr>
        <w:ind w:left="454"/>
        <w:rPr>
          <w:rFonts w:ascii="Arial" w:hAnsi="Arial" w:cs="Arial"/>
          <w:iCs/>
          <w:szCs w:val="24"/>
        </w:rPr>
      </w:pPr>
    </w:p>
    <w:p w:rsidR="00F03B67" w:rsidRPr="00F03B67" w:rsidRDefault="00F03B67" w:rsidP="00B6154C">
      <w:pPr>
        <w:numPr>
          <w:ilvl w:val="1"/>
          <w:numId w:val="1"/>
        </w:numPr>
        <w:rPr>
          <w:rFonts w:ascii="Arial" w:hAnsi="Arial" w:cs="Arial"/>
          <w:szCs w:val="24"/>
        </w:rPr>
      </w:pPr>
      <w:r w:rsidRPr="00B6154C">
        <w:rPr>
          <w:rFonts w:ascii="Arial" w:hAnsi="Arial" w:cs="Arial"/>
          <w:iCs/>
          <w:color w:val="000000"/>
          <w:szCs w:val="24"/>
        </w:rPr>
        <w:t>Investments</w:t>
      </w:r>
      <w:r w:rsidRPr="00F03B67">
        <w:rPr>
          <w:rFonts w:ascii="Arial" w:hAnsi="Arial" w:cs="Arial"/>
          <w:szCs w:val="24"/>
        </w:rPr>
        <w:t xml:space="preserve"> – Short Term- </w:t>
      </w:r>
      <w:proofErr w:type="spellStart"/>
      <w:r w:rsidRPr="00F03B67">
        <w:rPr>
          <w:rFonts w:ascii="Arial" w:hAnsi="Arial" w:cs="Arial"/>
          <w:szCs w:val="24"/>
        </w:rPr>
        <w:t>cashflow</w:t>
      </w:r>
      <w:proofErr w:type="spellEnd"/>
      <w:r w:rsidRPr="00F03B67">
        <w:rPr>
          <w:rFonts w:ascii="Arial" w:hAnsi="Arial" w:cs="Arial"/>
          <w:szCs w:val="24"/>
        </w:rPr>
        <w:t xml:space="preserve"> investment rate returned against comparative interest rates</w:t>
      </w:r>
      <w:r w:rsidR="00F11F4E">
        <w:rPr>
          <w:rFonts w:ascii="Arial" w:hAnsi="Arial" w:cs="Arial"/>
          <w:szCs w:val="24"/>
        </w:rPr>
        <w:br/>
      </w:r>
    </w:p>
    <w:p w:rsidR="00F03B67" w:rsidRPr="00F03B67" w:rsidRDefault="00F03B67" w:rsidP="00B6154C">
      <w:pPr>
        <w:numPr>
          <w:ilvl w:val="1"/>
          <w:numId w:val="1"/>
        </w:numPr>
        <w:rPr>
          <w:rFonts w:ascii="Arial" w:hAnsi="Arial" w:cs="Arial"/>
          <w:szCs w:val="24"/>
        </w:rPr>
      </w:pPr>
      <w:r w:rsidRPr="00B6154C">
        <w:rPr>
          <w:rFonts w:ascii="Arial" w:hAnsi="Arial" w:cs="Arial"/>
          <w:iCs/>
          <w:color w:val="000000"/>
          <w:szCs w:val="24"/>
        </w:rPr>
        <w:t>Investments</w:t>
      </w:r>
      <w:r w:rsidRPr="00F03B67">
        <w:rPr>
          <w:rFonts w:ascii="Arial" w:hAnsi="Arial" w:cs="Arial"/>
          <w:szCs w:val="24"/>
        </w:rPr>
        <w:t xml:space="preserve"> – Longer term – capital investment rates returned against comparative average rates</w:t>
      </w:r>
    </w:p>
    <w:p w:rsidR="00F03B67" w:rsidRPr="001D69FE" w:rsidRDefault="00F03B67" w:rsidP="005804A2">
      <w:pPr>
        <w:rPr>
          <w:rFonts w:cs="Arial"/>
          <w:iCs/>
          <w:szCs w:val="24"/>
        </w:rPr>
      </w:pPr>
    </w:p>
    <w:p w:rsidR="00F03B67" w:rsidRDefault="00F03B67" w:rsidP="005804A2">
      <w:pPr>
        <w:numPr>
          <w:ilvl w:val="0"/>
          <w:numId w:val="1"/>
        </w:numPr>
        <w:rPr>
          <w:rFonts w:ascii="Arial" w:hAnsi="Arial" w:cs="Arial"/>
          <w:szCs w:val="24"/>
        </w:rPr>
      </w:pPr>
      <w:r w:rsidRPr="00F03B67">
        <w:rPr>
          <w:rFonts w:ascii="Arial" w:hAnsi="Arial" w:cs="Arial"/>
          <w:szCs w:val="24"/>
        </w:rPr>
        <w:t>And in addition that the security benchmark for each individual year is:</w:t>
      </w:r>
    </w:p>
    <w:p w:rsidR="0060186D" w:rsidRPr="00F03B67" w:rsidRDefault="0060186D" w:rsidP="005804A2">
      <w:pPr>
        <w:rPr>
          <w:rFonts w:ascii="Arial" w:hAnsi="Arial" w:cs="Arial"/>
          <w:szCs w:val="24"/>
        </w:rPr>
      </w:pPr>
    </w:p>
    <w:p w:rsidR="00F03B67" w:rsidRPr="00B6154C" w:rsidRDefault="007B6896" w:rsidP="005804A2">
      <w:pPr>
        <w:rPr>
          <w:rFonts w:ascii="Arial" w:hAnsi="Arial" w:cs="Arial"/>
          <w:b/>
          <w:szCs w:val="22"/>
        </w:rPr>
      </w:pPr>
      <w:r w:rsidRPr="00B6154C">
        <w:rPr>
          <w:rFonts w:ascii="Arial" w:hAnsi="Arial" w:cs="Arial"/>
          <w:b/>
          <w:szCs w:val="22"/>
        </w:rPr>
        <w:t>Table 1</w:t>
      </w:r>
      <w:r w:rsidR="00BC3DA3">
        <w:rPr>
          <w:rFonts w:ascii="Arial" w:hAnsi="Arial" w:cs="Arial"/>
          <w:b/>
          <w:szCs w:val="22"/>
        </w:rPr>
        <w:t>5</w:t>
      </w:r>
      <w:r w:rsidR="00F03B67" w:rsidRPr="00B6154C">
        <w:rPr>
          <w:rFonts w:ascii="Arial" w:hAnsi="Arial" w:cs="Arial"/>
          <w:b/>
          <w:szCs w:val="22"/>
        </w:rPr>
        <w:t xml:space="preserve"> - Security Benchmark</w:t>
      </w:r>
    </w:p>
    <w:p w:rsidR="00F11F4E" w:rsidRPr="004B3656" w:rsidRDefault="00F11F4E" w:rsidP="005804A2">
      <w:pPr>
        <w:rPr>
          <w:rFonts w:ascii="Arial" w:hAnsi="Arial" w:cs="Arial"/>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308"/>
        <w:gridCol w:w="1308"/>
      </w:tblGrid>
      <w:tr w:rsidR="00F03B67" w:rsidRPr="004B3656" w:rsidTr="00043FE2">
        <w:tc>
          <w:tcPr>
            <w:tcW w:w="1975" w:type="dxa"/>
            <w:shd w:val="clear" w:color="auto" w:fill="D9D9D9"/>
          </w:tcPr>
          <w:p w:rsidR="00F03B67" w:rsidRPr="004B3656" w:rsidRDefault="00F03B67" w:rsidP="005804A2">
            <w:pPr>
              <w:pStyle w:val="BodyText2"/>
              <w:rPr>
                <w:rFonts w:cs="Arial"/>
                <w:color w:val="auto"/>
                <w:szCs w:val="22"/>
              </w:rPr>
            </w:pPr>
          </w:p>
        </w:tc>
        <w:tc>
          <w:tcPr>
            <w:tcW w:w="1308" w:type="dxa"/>
            <w:shd w:val="clear" w:color="auto" w:fill="D9D9D9"/>
          </w:tcPr>
          <w:p w:rsidR="00F03B67" w:rsidRPr="004B3656" w:rsidRDefault="00F03B67" w:rsidP="005804A2">
            <w:pPr>
              <w:pStyle w:val="BodyText2"/>
              <w:jc w:val="center"/>
              <w:rPr>
                <w:rFonts w:cs="Arial"/>
                <w:color w:val="auto"/>
                <w:szCs w:val="22"/>
              </w:rPr>
            </w:pPr>
            <w:r w:rsidRPr="004B3656">
              <w:rPr>
                <w:rFonts w:cs="Arial"/>
                <w:color w:val="auto"/>
                <w:szCs w:val="22"/>
              </w:rPr>
              <w:t>1 year</w:t>
            </w:r>
          </w:p>
        </w:tc>
        <w:tc>
          <w:tcPr>
            <w:tcW w:w="1308" w:type="dxa"/>
            <w:shd w:val="clear" w:color="auto" w:fill="D9D9D9"/>
          </w:tcPr>
          <w:p w:rsidR="00F03B67" w:rsidRPr="004B3656" w:rsidRDefault="00F03B67" w:rsidP="005804A2">
            <w:pPr>
              <w:pStyle w:val="BodyText2"/>
              <w:jc w:val="center"/>
              <w:rPr>
                <w:rFonts w:cs="Arial"/>
                <w:color w:val="auto"/>
                <w:szCs w:val="22"/>
              </w:rPr>
            </w:pPr>
            <w:r w:rsidRPr="004B3656">
              <w:rPr>
                <w:rFonts w:cs="Arial"/>
                <w:color w:val="auto"/>
                <w:szCs w:val="22"/>
              </w:rPr>
              <w:t>2 years</w:t>
            </w:r>
          </w:p>
        </w:tc>
      </w:tr>
      <w:tr w:rsidR="00F03B67" w:rsidRPr="004B3656" w:rsidTr="00043FE2">
        <w:tc>
          <w:tcPr>
            <w:tcW w:w="1975" w:type="dxa"/>
          </w:tcPr>
          <w:p w:rsidR="00F03B67" w:rsidRPr="004B3656" w:rsidRDefault="00F03B67" w:rsidP="005804A2">
            <w:pPr>
              <w:pStyle w:val="BodyText2"/>
              <w:rPr>
                <w:rFonts w:cs="Arial"/>
                <w:b/>
                <w:color w:val="auto"/>
                <w:szCs w:val="22"/>
              </w:rPr>
            </w:pPr>
            <w:r w:rsidRPr="004B3656">
              <w:rPr>
                <w:rFonts w:cs="Arial"/>
                <w:b/>
                <w:color w:val="auto"/>
                <w:szCs w:val="22"/>
              </w:rPr>
              <w:t>Maximum</w:t>
            </w:r>
          </w:p>
        </w:tc>
        <w:tc>
          <w:tcPr>
            <w:tcW w:w="1308" w:type="dxa"/>
          </w:tcPr>
          <w:p w:rsidR="00F03B67" w:rsidRPr="005E2D73" w:rsidRDefault="00F03B67" w:rsidP="005804A2">
            <w:pPr>
              <w:pStyle w:val="BodyText2"/>
              <w:jc w:val="center"/>
              <w:rPr>
                <w:rFonts w:cs="Arial"/>
                <w:color w:val="auto"/>
                <w:szCs w:val="22"/>
              </w:rPr>
            </w:pPr>
            <w:r w:rsidRPr="005E2D73">
              <w:rPr>
                <w:rFonts w:cs="Arial"/>
                <w:color w:val="auto"/>
                <w:szCs w:val="22"/>
              </w:rPr>
              <w:t>0.077%</w:t>
            </w:r>
          </w:p>
        </w:tc>
        <w:tc>
          <w:tcPr>
            <w:tcW w:w="1308" w:type="dxa"/>
          </w:tcPr>
          <w:p w:rsidR="00F03B67" w:rsidRPr="005E2D73" w:rsidRDefault="00F03B67" w:rsidP="005804A2">
            <w:pPr>
              <w:pStyle w:val="BodyText2"/>
              <w:jc w:val="center"/>
              <w:rPr>
                <w:rFonts w:cs="Arial"/>
                <w:color w:val="auto"/>
                <w:szCs w:val="22"/>
              </w:rPr>
            </w:pPr>
            <w:r w:rsidRPr="005E2D73">
              <w:rPr>
                <w:rFonts w:cs="Arial"/>
                <w:color w:val="auto"/>
                <w:szCs w:val="22"/>
              </w:rPr>
              <w:t>0.0</w:t>
            </w:r>
            <w:r w:rsidR="004B3656" w:rsidRPr="005E2D73">
              <w:rPr>
                <w:rFonts w:cs="Arial"/>
                <w:color w:val="auto"/>
                <w:szCs w:val="22"/>
              </w:rPr>
              <w:t>77</w:t>
            </w:r>
            <w:r w:rsidRPr="005E2D73">
              <w:rPr>
                <w:rFonts w:cs="Arial"/>
                <w:color w:val="auto"/>
                <w:szCs w:val="22"/>
              </w:rPr>
              <w:t>%</w:t>
            </w:r>
          </w:p>
        </w:tc>
      </w:tr>
    </w:tbl>
    <w:p w:rsidR="00382D05" w:rsidRDefault="00382D05" w:rsidP="005804A2">
      <w:pPr>
        <w:pStyle w:val="BodyText"/>
        <w:spacing w:after="0"/>
        <w:ind w:left="720"/>
        <w:rPr>
          <w:rFonts w:ascii="Arial" w:hAnsi="Arial" w:cs="Arial"/>
          <w:iCs/>
          <w:szCs w:val="22"/>
        </w:rPr>
      </w:pPr>
    </w:p>
    <w:p w:rsidR="00F03B67" w:rsidRDefault="00F03B67" w:rsidP="005804A2">
      <w:pPr>
        <w:pStyle w:val="BodyText"/>
        <w:spacing w:after="0"/>
        <w:ind w:left="720"/>
        <w:rPr>
          <w:rFonts w:ascii="Arial" w:hAnsi="Arial" w:cs="Arial"/>
          <w:iCs/>
          <w:szCs w:val="22"/>
        </w:rPr>
      </w:pPr>
      <w:r w:rsidRPr="004B3656">
        <w:rPr>
          <w:rFonts w:ascii="Arial" w:hAnsi="Arial" w:cs="Arial"/>
          <w:iCs/>
          <w:szCs w:val="22"/>
        </w:rPr>
        <w:t xml:space="preserve">Note: This benchmark is an average risk of default measure, and would not constitute an expectation of loss against a particular investment.  </w:t>
      </w:r>
    </w:p>
    <w:p w:rsidR="004469DB" w:rsidRDefault="004469DB" w:rsidP="005804A2">
      <w:pPr>
        <w:pStyle w:val="BodyText"/>
        <w:spacing w:after="0"/>
        <w:ind w:left="720"/>
        <w:rPr>
          <w:rFonts w:ascii="Arial" w:hAnsi="Arial" w:cs="Arial"/>
          <w:iCs/>
          <w:szCs w:val="22"/>
        </w:rPr>
      </w:pPr>
    </w:p>
    <w:p w:rsidR="004469DB" w:rsidRDefault="004469DB" w:rsidP="004469DB">
      <w:pPr>
        <w:numPr>
          <w:ilvl w:val="0"/>
          <w:numId w:val="1"/>
        </w:numPr>
        <w:rPr>
          <w:rFonts w:ascii="Arial" w:hAnsi="Arial" w:cs="Arial"/>
          <w:szCs w:val="24"/>
        </w:rPr>
      </w:pPr>
      <w:r>
        <w:rPr>
          <w:rFonts w:ascii="Arial" w:hAnsi="Arial" w:cs="Arial"/>
          <w:szCs w:val="24"/>
        </w:rPr>
        <w:t>The above reported benchmarks for Security Liquidity and Yield all relate to</w:t>
      </w:r>
      <w:r w:rsidR="000B107E">
        <w:rPr>
          <w:rFonts w:ascii="Arial" w:hAnsi="Arial" w:cs="Arial"/>
          <w:szCs w:val="24"/>
        </w:rPr>
        <w:t xml:space="preserve"> Deposits with Banks and Money Market Funds but would not relate to Property Funds. </w:t>
      </w:r>
    </w:p>
    <w:p w:rsidR="000B107E" w:rsidRDefault="000B107E" w:rsidP="000B107E">
      <w:pPr>
        <w:rPr>
          <w:rFonts w:ascii="Arial" w:hAnsi="Arial" w:cs="Arial"/>
          <w:szCs w:val="24"/>
        </w:rPr>
      </w:pPr>
    </w:p>
    <w:p w:rsidR="000B107E" w:rsidRPr="004469DB" w:rsidRDefault="000B107E" w:rsidP="000B107E">
      <w:pPr>
        <w:numPr>
          <w:ilvl w:val="0"/>
          <w:numId w:val="1"/>
        </w:numPr>
        <w:rPr>
          <w:rFonts w:ascii="Arial" w:hAnsi="Arial" w:cs="Arial"/>
          <w:szCs w:val="24"/>
        </w:rPr>
      </w:pPr>
      <w:r>
        <w:rPr>
          <w:rFonts w:ascii="Arial" w:hAnsi="Arial" w:cs="Arial"/>
          <w:szCs w:val="24"/>
        </w:rPr>
        <w:t>It is proposed that property funds will be benchmarked for performance against the IPD All Balanced Fund index which is the universe of all property funds, data for this can be provided by our Treasury Management advisors Link Asset Services.</w:t>
      </w:r>
    </w:p>
    <w:p w:rsidR="00B6154C" w:rsidRDefault="00B6154C" w:rsidP="005804A2">
      <w:pPr>
        <w:widowControl w:val="0"/>
        <w:tabs>
          <w:tab w:val="left" w:pos="360"/>
        </w:tabs>
        <w:rPr>
          <w:rFonts w:ascii="Arial" w:hAnsi="Arial" w:cs="Arial"/>
          <w:b/>
          <w:noProof/>
          <w:szCs w:val="22"/>
        </w:rPr>
      </w:pPr>
    </w:p>
    <w:p w:rsidR="00F03B67" w:rsidRDefault="00F03B67" w:rsidP="005804A2">
      <w:pPr>
        <w:widowControl w:val="0"/>
        <w:tabs>
          <w:tab w:val="left" w:pos="360"/>
        </w:tabs>
        <w:rPr>
          <w:rFonts w:ascii="Arial" w:hAnsi="Arial" w:cs="Arial"/>
          <w:b/>
          <w:noProof/>
          <w:szCs w:val="22"/>
        </w:rPr>
      </w:pPr>
      <w:r w:rsidRPr="004B3656">
        <w:rPr>
          <w:rFonts w:ascii="Arial" w:hAnsi="Arial" w:cs="Arial"/>
          <w:b/>
          <w:noProof/>
          <w:szCs w:val="22"/>
        </w:rPr>
        <w:t>End of year investment report</w:t>
      </w:r>
    </w:p>
    <w:p w:rsidR="00B6154C" w:rsidRPr="004B3656" w:rsidRDefault="00B6154C" w:rsidP="005804A2">
      <w:pPr>
        <w:widowControl w:val="0"/>
        <w:tabs>
          <w:tab w:val="left" w:pos="360"/>
        </w:tabs>
        <w:rPr>
          <w:rFonts w:ascii="Arial" w:hAnsi="Arial" w:cs="Arial"/>
          <w:b/>
          <w:noProof/>
          <w:szCs w:val="22"/>
        </w:rPr>
      </w:pPr>
    </w:p>
    <w:p w:rsidR="00F03B67" w:rsidRPr="004B3656" w:rsidRDefault="00F03B67" w:rsidP="005804A2">
      <w:pPr>
        <w:numPr>
          <w:ilvl w:val="0"/>
          <w:numId w:val="1"/>
        </w:numPr>
        <w:rPr>
          <w:rFonts w:ascii="Arial" w:hAnsi="Arial" w:cs="Arial"/>
          <w:noProof/>
          <w:szCs w:val="22"/>
        </w:rPr>
      </w:pPr>
      <w:r w:rsidRPr="004B3656">
        <w:rPr>
          <w:rFonts w:ascii="Arial" w:hAnsi="Arial" w:cs="Arial"/>
          <w:noProof/>
          <w:szCs w:val="22"/>
        </w:rPr>
        <w:t xml:space="preserve">At the end of the financial year, the Council will report on its investment activity as part of its Annual Treasury Report. </w:t>
      </w:r>
      <w:r w:rsidR="00B6154C">
        <w:rPr>
          <w:rFonts w:ascii="Arial" w:hAnsi="Arial" w:cs="Arial"/>
          <w:noProof/>
          <w:szCs w:val="22"/>
        </w:rPr>
        <w:br/>
      </w:r>
    </w:p>
    <w:p w:rsidR="00116C42" w:rsidRDefault="00116C42" w:rsidP="005804A2">
      <w:pPr>
        <w:widowControl w:val="0"/>
        <w:tabs>
          <w:tab w:val="left" w:pos="360"/>
        </w:tabs>
        <w:rPr>
          <w:rFonts w:ascii="Arial" w:hAnsi="Arial" w:cs="Arial"/>
          <w:b/>
          <w:noProof/>
          <w:szCs w:val="22"/>
        </w:rPr>
      </w:pPr>
    </w:p>
    <w:p w:rsidR="00F03B67" w:rsidRDefault="00F03B67" w:rsidP="005804A2">
      <w:pPr>
        <w:widowControl w:val="0"/>
        <w:tabs>
          <w:tab w:val="left" w:pos="360"/>
        </w:tabs>
        <w:rPr>
          <w:rFonts w:ascii="Arial" w:hAnsi="Arial" w:cs="Arial"/>
          <w:b/>
          <w:noProof/>
          <w:szCs w:val="22"/>
        </w:rPr>
      </w:pPr>
      <w:r w:rsidRPr="004B3656">
        <w:rPr>
          <w:rFonts w:ascii="Arial" w:hAnsi="Arial" w:cs="Arial"/>
          <w:b/>
          <w:noProof/>
          <w:szCs w:val="22"/>
        </w:rPr>
        <w:t>Policy on the use of external service providers</w:t>
      </w:r>
    </w:p>
    <w:p w:rsidR="00B6154C" w:rsidRPr="004B3656" w:rsidRDefault="00B6154C" w:rsidP="005804A2">
      <w:pPr>
        <w:widowControl w:val="0"/>
        <w:tabs>
          <w:tab w:val="left" w:pos="360"/>
        </w:tabs>
        <w:rPr>
          <w:rFonts w:ascii="Arial" w:hAnsi="Arial" w:cs="Arial"/>
          <w:noProof/>
          <w:sz w:val="22"/>
          <w:szCs w:val="22"/>
        </w:rPr>
      </w:pPr>
    </w:p>
    <w:p w:rsidR="00F03B67" w:rsidRPr="004B3656" w:rsidRDefault="00F03B67" w:rsidP="005804A2">
      <w:pPr>
        <w:numPr>
          <w:ilvl w:val="0"/>
          <w:numId w:val="1"/>
        </w:numPr>
        <w:rPr>
          <w:rFonts w:ascii="Arial" w:hAnsi="Arial" w:cs="Arial"/>
          <w:noProof/>
          <w:szCs w:val="24"/>
        </w:rPr>
      </w:pPr>
      <w:r w:rsidRPr="004B3656">
        <w:rPr>
          <w:rFonts w:ascii="Arial" w:hAnsi="Arial" w:cs="Arial"/>
          <w:noProof/>
          <w:szCs w:val="24"/>
        </w:rPr>
        <w:t xml:space="preserve">The Council uses </w:t>
      </w:r>
      <w:r w:rsidR="0059779C">
        <w:rPr>
          <w:rFonts w:ascii="Arial" w:hAnsi="Arial" w:cs="Arial"/>
          <w:noProof/>
          <w:szCs w:val="24"/>
        </w:rPr>
        <w:t>Link Asset Services</w:t>
      </w:r>
      <w:r w:rsidRPr="004B3656">
        <w:rPr>
          <w:rFonts w:ascii="Arial" w:hAnsi="Arial" w:cs="Arial"/>
          <w:noProof/>
          <w:szCs w:val="24"/>
        </w:rPr>
        <w:t xml:space="preserve"> as its external treasury management advisors.  </w:t>
      </w:r>
      <w:r w:rsidRPr="004B3656">
        <w:rPr>
          <w:rFonts w:ascii="Arial" w:hAnsi="Arial" w:cs="Arial"/>
          <w:iCs/>
          <w:szCs w:val="24"/>
        </w:rPr>
        <w:t xml:space="preserve">The company provides a range of services which include: </w:t>
      </w:r>
      <w:r w:rsidRPr="004B3656">
        <w:rPr>
          <w:rFonts w:ascii="Arial" w:hAnsi="Arial" w:cs="Arial"/>
          <w:iCs/>
          <w:szCs w:val="24"/>
        </w:rPr>
        <w:br/>
      </w:r>
    </w:p>
    <w:p w:rsidR="00F03B67" w:rsidRPr="004B3656" w:rsidRDefault="00F03B67" w:rsidP="00B6154C">
      <w:pPr>
        <w:numPr>
          <w:ilvl w:val="1"/>
          <w:numId w:val="1"/>
        </w:numPr>
        <w:rPr>
          <w:rFonts w:ascii="Arial" w:hAnsi="Arial" w:cs="Arial"/>
          <w:iCs/>
          <w:szCs w:val="22"/>
        </w:rPr>
      </w:pPr>
      <w:r w:rsidRPr="00B6154C">
        <w:rPr>
          <w:rFonts w:ascii="Arial" w:hAnsi="Arial" w:cs="Arial"/>
          <w:iCs/>
          <w:color w:val="000000"/>
          <w:szCs w:val="24"/>
        </w:rPr>
        <w:t>Technical</w:t>
      </w:r>
      <w:r w:rsidRPr="004B3656">
        <w:rPr>
          <w:rFonts w:ascii="Arial" w:hAnsi="Arial" w:cs="Arial"/>
          <w:iCs/>
          <w:szCs w:val="22"/>
        </w:rPr>
        <w:t xml:space="preserve"> support on treasury matters, capital finance issues and the drafting of Member reports;</w:t>
      </w:r>
      <w:r w:rsidRPr="004B3656">
        <w:rPr>
          <w:rFonts w:ascii="Arial" w:hAnsi="Arial" w:cs="Arial"/>
          <w:iCs/>
          <w:szCs w:val="22"/>
        </w:rPr>
        <w:br/>
      </w:r>
    </w:p>
    <w:p w:rsidR="00F03B67" w:rsidRPr="004B3656" w:rsidRDefault="00F03B67" w:rsidP="00B6154C">
      <w:pPr>
        <w:numPr>
          <w:ilvl w:val="1"/>
          <w:numId w:val="1"/>
        </w:numPr>
        <w:rPr>
          <w:rFonts w:ascii="Arial" w:hAnsi="Arial" w:cs="Arial"/>
          <w:iCs/>
          <w:szCs w:val="22"/>
        </w:rPr>
      </w:pPr>
      <w:r w:rsidRPr="00B6154C">
        <w:rPr>
          <w:rFonts w:ascii="Arial" w:hAnsi="Arial" w:cs="Arial"/>
          <w:iCs/>
          <w:color w:val="000000"/>
          <w:szCs w:val="24"/>
        </w:rPr>
        <w:t>Economic</w:t>
      </w:r>
      <w:r w:rsidRPr="004B3656">
        <w:rPr>
          <w:rFonts w:ascii="Arial" w:hAnsi="Arial" w:cs="Arial"/>
          <w:iCs/>
          <w:szCs w:val="22"/>
        </w:rPr>
        <w:t xml:space="preserve"> and interest rate analysis;</w:t>
      </w:r>
      <w:r w:rsidRPr="004B3656">
        <w:rPr>
          <w:rFonts w:ascii="Arial" w:hAnsi="Arial" w:cs="Arial"/>
          <w:iCs/>
          <w:szCs w:val="22"/>
        </w:rPr>
        <w:br/>
      </w:r>
    </w:p>
    <w:p w:rsidR="00F03B67" w:rsidRPr="004B3656" w:rsidRDefault="00F03B67" w:rsidP="00B6154C">
      <w:pPr>
        <w:numPr>
          <w:ilvl w:val="1"/>
          <w:numId w:val="1"/>
        </w:numPr>
        <w:rPr>
          <w:rFonts w:ascii="Arial" w:hAnsi="Arial" w:cs="Arial"/>
          <w:iCs/>
          <w:szCs w:val="22"/>
        </w:rPr>
      </w:pPr>
      <w:r w:rsidRPr="00B6154C">
        <w:rPr>
          <w:rFonts w:ascii="Arial" w:hAnsi="Arial" w:cs="Arial"/>
          <w:iCs/>
          <w:color w:val="000000"/>
          <w:szCs w:val="24"/>
        </w:rPr>
        <w:t>Debt</w:t>
      </w:r>
      <w:r w:rsidRPr="004B3656">
        <w:rPr>
          <w:rFonts w:ascii="Arial" w:hAnsi="Arial" w:cs="Arial"/>
          <w:iCs/>
          <w:szCs w:val="22"/>
        </w:rPr>
        <w:t xml:space="preserve"> services which includes advice on the timing of borrowing;</w:t>
      </w:r>
      <w:r w:rsidRPr="004B3656">
        <w:rPr>
          <w:rFonts w:ascii="Arial" w:hAnsi="Arial" w:cs="Arial"/>
          <w:iCs/>
          <w:szCs w:val="22"/>
        </w:rPr>
        <w:br/>
      </w:r>
    </w:p>
    <w:p w:rsidR="00F03B67" w:rsidRPr="004B3656" w:rsidRDefault="00F03B67" w:rsidP="00B6154C">
      <w:pPr>
        <w:numPr>
          <w:ilvl w:val="1"/>
          <w:numId w:val="1"/>
        </w:numPr>
        <w:rPr>
          <w:rFonts w:ascii="Arial" w:hAnsi="Arial" w:cs="Arial"/>
          <w:iCs/>
          <w:szCs w:val="22"/>
        </w:rPr>
      </w:pPr>
      <w:r w:rsidRPr="00B6154C">
        <w:rPr>
          <w:rFonts w:ascii="Arial" w:hAnsi="Arial" w:cs="Arial"/>
          <w:iCs/>
          <w:color w:val="000000"/>
          <w:szCs w:val="24"/>
        </w:rPr>
        <w:t>Debt</w:t>
      </w:r>
      <w:r w:rsidRPr="004B3656">
        <w:rPr>
          <w:rFonts w:ascii="Arial" w:hAnsi="Arial" w:cs="Arial"/>
          <w:iCs/>
          <w:szCs w:val="22"/>
        </w:rPr>
        <w:t xml:space="preserve"> rescheduling advice surrounding the existing portfolio;</w:t>
      </w:r>
      <w:r w:rsidRPr="004B3656">
        <w:rPr>
          <w:rFonts w:ascii="Arial" w:hAnsi="Arial" w:cs="Arial"/>
          <w:iCs/>
          <w:szCs w:val="22"/>
        </w:rPr>
        <w:br/>
      </w:r>
    </w:p>
    <w:p w:rsidR="00F03B67" w:rsidRPr="004B3656" w:rsidRDefault="00F03B67" w:rsidP="00B6154C">
      <w:pPr>
        <w:numPr>
          <w:ilvl w:val="1"/>
          <w:numId w:val="1"/>
        </w:numPr>
        <w:rPr>
          <w:rFonts w:ascii="Arial" w:hAnsi="Arial" w:cs="Arial"/>
          <w:iCs/>
          <w:szCs w:val="22"/>
        </w:rPr>
      </w:pPr>
      <w:r w:rsidRPr="00B6154C">
        <w:rPr>
          <w:rFonts w:ascii="Arial" w:hAnsi="Arial" w:cs="Arial"/>
          <w:iCs/>
          <w:color w:val="000000"/>
          <w:szCs w:val="24"/>
        </w:rPr>
        <w:t>Generic</w:t>
      </w:r>
      <w:r w:rsidRPr="004B3656">
        <w:rPr>
          <w:rFonts w:ascii="Arial" w:hAnsi="Arial" w:cs="Arial"/>
          <w:iCs/>
          <w:szCs w:val="22"/>
        </w:rPr>
        <w:t xml:space="preserve"> investment advice on interest rates, timing and investment instruments;</w:t>
      </w:r>
      <w:r w:rsidRPr="004B3656">
        <w:rPr>
          <w:rFonts w:ascii="Arial" w:hAnsi="Arial" w:cs="Arial"/>
          <w:iCs/>
          <w:szCs w:val="22"/>
        </w:rPr>
        <w:br/>
      </w:r>
    </w:p>
    <w:p w:rsidR="00F03B67" w:rsidRPr="004B3656" w:rsidRDefault="00F03B67" w:rsidP="00B6154C">
      <w:pPr>
        <w:numPr>
          <w:ilvl w:val="1"/>
          <w:numId w:val="1"/>
        </w:numPr>
        <w:rPr>
          <w:rFonts w:ascii="Arial" w:hAnsi="Arial" w:cs="Arial"/>
          <w:iCs/>
          <w:szCs w:val="22"/>
        </w:rPr>
      </w:pPr>
      <w:r w:rsidRPr="00B6154C">
        <w:rPr>
          <w:rFonts w:ascii="Arial" w:hAnsi="Arial" w:cs="Arial"/>
          <w:iCs/>
          <w:color w:val="000000"/>
          <w:szCs w:val="24"/>
        </w:rPr>
        <w:t>Credit</w:t>
      </w:r>
      <w:r w:rsidRPr="004B3656">
        <w:rPr>
          <w:rFonts w:ascii="Arial" w:hAnsi="Arial" w:cs="Arial"/>
          <w:iCs/>
          <w:szCs w:val="22"/>
        </w:rPr>
        <w:t xml:space="preserve"> ratings from the three main rating agencies and other market information on counterparties.  </w:t>
      </w:r>
    </w:p>
    <w:p w:rsidR="00F03B67" w:rsidRPr="004B3656" w:rsidRDefault="00F03B67" w:rsidP="005804A2">
      <w:pPr>
        <w:jc w:val="both"/>
        <w:rPr>
          <w:rFonts w:ascii="Arial" w:hAnsi="Arial" w:cs="Arial"/>
          <w:noProof/>
          <w:sz w:val="22"/>
          <w:szCs w:val="22"/>
        </w:rPr>
      </w:pPr>
    </w:p>
    <w:p w:rsidR="00F03B67" w:rsidRPr="004B3656" w:rsidRDefault="00F03B67" w:rsidP="005804A2">
      <w:pPr>
        <w:numPr>
          <w:ilvl w:val="0"/>
          <w:numId w:val="1"/>
        </w:numPr>
        <w:rPr>
          <w:rFonts w:ascii="Arial" w:hAnsi="Arial" w:cs="Arial"/>
          <w:noProof/>
          <w:szCs w:val="22"/>
        </w:rPr>
      </w:pPr>
      <w:r w:rsidRPr="004B3656">
        <w:rPr>
          <w:rFonts w:ascii="Arial" w:hAnsi="Arial" w:cs="Arial"/>
          <w:noProof/>
          <w:szCs w:val="22"/>
        </w:rPr>
        <w:t xml:space="preserve">The Council recognises that responsibility for treasury management decisions remains with the organisation at all times and will ensure that undue reliance is not placed upon our external service providers. </w:t>
      </w:r>
    </w:p>
    <w:p w:rsidR="00F03B67" w:rsidRPr="004B3656" w:rsidRDefault="00F03B67" w:rsidP="005804A2">
      <w:pPr>
        <w:rPr>
          <w:rFonts w:ascii="Arial" w:hAnsi="Arial" w:cs="Arial"/>
          <w:noProof/>
          <w:szCs w:val="22"/>
        </w:rPr>
      </w:pPr>
    </w:p>
    <w:p w:rsidR="00F03B67" w:rsidRPr="004B3656" w:rsidRDefault="00F03B67" w:rsidP="005804A2">
      <w:pPr>
        <w:numPr>
          <w:ilvl w:val="0"/>
          <w:numId w:val="1"/>
        </w:numPr>
        <w:rPr>
          <w:rFonts w:ascii="Arial" w:hAnsi="Arial" w:cs="Arial"/>
          <w:noProof/>
          <w:szCs w:val="22"/>
        </w:rPr>
      </w:pPr>
      <w:r w:rsidRPr="004B3656">
        <w:rPr>
          <w:rFonts w:ascii="Arial" w:hAnsi="Arial" w:cs="Arial"/>
          <w:noProof/>
          <w:szCs w:val="22"/>
        </w:rPr>
        <w:t>It also recognises that there is value in employing external providers of treasury management services in order to acquire access to specialist skills and resources. The Council will ensure that the terms of their appointment and the methods by which their value will be assessed are properly agreed and documented, and subjected to regular review.</w:t>
      </w:r>
      <w:r w:rsidRPr="004B3656" w:rsidDel="0089466F">
        <w:rPr>
          <w:rFonts w:ascii="Arial" w:hAnsi="Arial" w:cs="Arial"/>
          <w:noProof/>
          <w:szCs w:val="22"/>
        </w:rPr>
        <w:t xml:space="preserve"> </w:t>
      </w:r>
    </w:p>
    <w:p w:rsidR="00F03B67" w:rsidRPr="004B3656" w:rsidRDefault="00F03B67" w:rsidP="005804A2">
      <w:pPr>
        <w:jc w:val="both"/>
        <w:rPr>
          <w:rFonts w:ascii="Arial" w:hAnsi="Arial" w:cs="Arial"/>
          <w:b/>
          <w:noProof/>
          <w:sz w:val="22"/>
          <w:szCs w:val="22"/>
          <w:lang w:eastAsia="en-GB"/>
        </w:rPr>
      </w:pPr>
    </w:p>
    <w:p w:rsidR="00F03B67" w:rsidRPr="004B3656" w:rsidRDefault="00F03B67" w:rsidP="005804A2">
      <w:pPr>
        <w:rPr>
          <w:rFonts w:ascii="Arial" w:hAnsi="Arial" w:cs="Arial"/>
          <w:b/>
          <w:bCs/>
        </w:rPr>
      </w:pPr>
      <w:r w:rsidRPr="004B3656">
        <w:rPr>
          <w:rFonts w:ascii="Arial" w:hAnsi="Arial" w:cs="Arial"/>
          <w:b/>
          <w:bCs/>
        </w:rPr>
        <w:t>Outcome of Consultation</w:t>
      </w:r>
    </w:p>
    <w:p w:rsidR="00F03B67" w:rsidRPr="004B3656" w:rsidRDefault="00F03B67" w:rsidP="005804A2">
      <w:pPr>
        <w:rPr>
          <w:rFonts w:ascii="Arial" w:hAnsi="Arial" w:cs="Arial"/>
          <w:b/>
          <w:bCs/>
        </w:rPr>
      </w:pPr>
    </w:p>
    <w:p w:rsidR="00F03B67" w:rsidRPr="004B3656" w:rsidRDefault="00F03B67" w:rsidP="005804A2">
      <w:pPr>
        <w:numPr>
          <w:ilvl w:val="0"/>
          <w:numId w:val="1"/>
        </w:numPr>
        <w:rPr>
          <w:rFonts w:ascii="Arial" w:hAnsi="Arial" w:cs="Arial"/>
          <w:bCs/>
        </w:rPr>
      </w:pPr>
      <w:r w:rsidRPr="004B3656">
        <w:rPr>
          <w:rFonts w:ascii="Arial" w:hAnsi="Arial" w:cs="Arial"/>
          <w:bCs/>
        </w:rPr>
        <w:t>No consultation was undertaken in the production of this report.</w:t>
      </w:r>
    </w:p>
    <w:p w:rsidR="00D42C71" w:rsidRDefault="00D42C71" w:rsidP="005804A2">
      <w:pPr>
        <w:rPr>
          <w:rFonts w:ascii="Arial" w:hAnsi="Arial" w:cs="Arial"/>
          <w:szCs w:val="22"/>
        </w:rPr>
      </w:pPr>
    </w:p>
    <w:p w:rsidR="00084C87" w:rsidRDefault="000C20F3" w:rsidP="005804A2">
      <w:pPr>
        <w:rPr>
          <w:rFonts w:ascii="Arial" w:hAnsi="Arial" w:cs="Arial"/>
          <w:szCs w:val="24"/>
        </w:rPr>
      </w:pPr>
      <w:r>
        <w:rPr>
          <w:rFonts w:ascii="Arial" w:hAnsi="Arial" w:cs="Arial"/>
          <w:szCs w:val="24"/>
        </w:rPr>
        <w:br w:type="page"/>
      </w:r>
    </w:p>
    <w:p w:rsidR="00383F8B" w:rsidRDefault="00084C87" w:rsidP="005804A2">
      <w:pPr>
        <w:jc w:val="right"/>
        <w:rPr>
          <w:b/>
        </w:rPr>
      </w:pPr>
      <w:bookmarkStart w:id="1" w:name="_Toc339459972"/>
      <w:r w:rsidRPr="00F13BEB">
        <w:rPr>
          <w:rFonts w:ascii="Arial" w:hAnsi="Arial" w:cs="Arial"/>
          <w:b/>
        </w:rPr>
        <w:lastRenderedPageBreak/>
        <w:t>APPENDIX</w:t>
      </w:r>
      <w:r w:rsidRPr="00F11F4E">
        <w:rPr>
          <w:b/>
        </w:rPr>
        <w:t xml:space="preserve"> </w:t>
      </w:r>
      <w:r w:rsidR="0094462D" w:rsidRPr="00F11F4E">
        <w:rPr>
          <w:b/>
        </w:rPr>
        <w:t>1</w:t>
      </w:r>
      <w:r w:rsidRPr="00F11F4E">
        <w:rPr>
          <w:b/>
        </w:rPr>
        <w:t xml:space="preserve"> </w:t>
      </w:r>
      <w:bookmarkEnd w:id="1"/>
    </w:p>
    <w:p w:rsidR="00F13BEB" w:rsidRDefault="00383F8B" w:rsidP="005804A2">
      <w:pPr>
        <w:pStyle w:val="subhead"/>
        <w:numPr>
          <w:ilvl w:val="0"/>
          <w:numId w:val="0"/>
        </w:numPr>
        <w:spacing w:before="0" w:after="0"/>
        <w:jc w:val="left"/>
        <w:rPr>
          <w:sz w:val="24"/>
          <w:szCs w:val="24"/>
        </w:rPr>
      </w:pPr>
      <w:r w:rsidRPr="00086A0F">
        <w:rPr>
          <w:sz w:val="24"/>
          <w:szCs w:val="24"/>
        </w:rPr>
        <w:t>Economic Background</w:t>
      </w:r>
      <w:r w:rsidR="00CA4099">
        <w:rPr>
          <w:sz w:val="24"/>
          <w:szCs w:val="24"/>
        </w:rPr>
        <w:t xml:space="preserve"> provided by Link Asset Services</w:t>
      </w:r>
    </w:p>
    <w:p w:rsidR="006540B3" w:rsidRPr="006540B3" w:rsidRDefault="006540B3" w:rsidP="005804A2">
      <w:pPr>
        <w:pStyle w:val="subhead"/>
        <w:numPr>
          <w:ilvl w:val="0"/>
          <w:numId w:val="0"/>
        </w:numPr>
        <w:spacing w:before="0" w:after="0"/>
        <w:jc w:val="left"/>
        <w:rPr>
          <w:sz w:val="24"/>
          <w:szCs w:val="24"/>
        </w:rPr>
      </w:pPr>
    </w:p>
    <w:p w:rsidR="006540B3" w:rsidRPr="006540B3" w:rsidRDefault="006540B3" w:rsidP="00CE3C0B">
      <w:pPr>
        <w:pStyle w:val="ListParagraph"/>
        <w:numPr>
          <w:ilvl w:val="0"/>
          <w:numId w:val="15"/>
        </w:numPr>
        <w:rPr>
          <w:rFonts w:ascii="Arial" w:hAnsi="Arial" w:cs="Arial"/>
          <w:color w:val="0D0D0D"/>
          <w:spacing w:val="-5"/>
          <w:sz w:val="24"/>
          <w:szCs w:val="24"/>
        </w:rPr>
      </w:pPr>
      <w:r w:rsidRPr="006540B3">
        <w:rPr>
          <w:rFonts w:ascii="Arial" w:hAnsi="Arial" w:cs="Arial"/>
          <w:b/>
          <w:bCs/>
          <w:color w:val="0D0D0D"/>
          <w:spacing w:val="-5"/>
          <w:sz w:val="24"/>
          <w:szCs w:val="24"/>
        </w:rPr>
        <w:t>GLOBAL OUTLOOK.  World growth</w:t>
      </w:r>
      <w:r w:rsidRPr="006540B3">
        <w:rPr>
          <w:rFonts w:ascii="Arial" w:hAnsi="Arial" w:cs="Arial"/>
          <w:color w:val="0D0D0D"/>
          <w:spacing w:val="-5"/>
          <w:sz w:val="24"/>
          <w:szCs w:val="24"/>
        </w:rPr>
        <w:t xml:space="preserve"> </w:t>
      </w:r>
      <w:r w:rsidR="006960B3">
        <w:rPr>
          <w:rFonts w:ascii="Arial" w:hAnsi="Arial" w:cs="Arial"/>
          <w:color w:val="0D0D0D"/>
          <w:spacing w:val="-5"/>
          <w:sz w:val="24"/>
          <w:szCs w:val="24"/>
        </w:rPr>
        <w:t>has been doing reasonably well, aided by strong growth in the US</w:t>
      </w:r>
      <w:r w:rsidRPr="006540B3">
        <w:rPr>
          <w:rFonts w:ascii="Arial" w:hAnsi="Arial" w:cs="Arial"/>
          <w:color w:val="0D0D0D"/>
          <w:spacing w:val="-5"/>
          <w:sz w:val="24"/>
          <w:szCs w:val="24"/>
        </w:rPr>
        <w:t>.</w:t>
      </w:r>
      <w:r w:rsidR="006960B3">
        <w:rPr>
          <w:rFonts w:ascii="Arial" w:hAnsi="Arial" w:cs="Arial"/>
          <w:color w:val="0D0D0D"/>
          <w:spacing w:val="-5"/>
          <w:sz w:val="24"/>
          <w:szCs w:val="24"/>
        </w:rPr>
        <w:t xml:space="preserve"> However, US growth is likely to fall back in 2019 and together with weakening economic activity in China</w:t>
      </w:r>
      <w:r w:rsidR="00C40C56">
        <w:rPr>
          <w:rFonts w:ascii="Arial" w:hAnsi="Arial" w:cs="Arial"/>
          <w:color w:val="0D0D0D"/>
          <w:spacing w:val="-5"/>
          <w:sz w:val="24"/>
          <w:szCs w:val="24"/>
        </w:rPr>
        <w:t xml:space="preserve"> and the </w:t>
      </w:r>
      <w:proofErr w:type="spellStart"/>
      <w:r w:rsidR="00C40C56">
        <w:rPr>
          <w:rFonts w:ascii="Arial" w:hAnsi="Arial" w:cs="Arial"/>
          <w:color w:val="0D0D0D"/>
          <w:spacing w:val="-5"/>
          <w:sz w:val="24"/>
          <w:szCs w:val="24"/>
        </w:rPr>
        <w:t>eurozone</w:t>
      </w:r>
      <w:proofErr w:type="spellEnd"/>
      <w:r w:rsidR="006960B3">
        <w:rPr>
          <w:rFonts w:ascii="Arial" w:hAnsi="Arial" w:cs="Arial"/>
          <w:color w:val="0D0D0D"/>
          <w:spacing w:val="-5"/>
          <w:sz w:val="24"/>
          <w:szCs w:val="24"/>
        </w:rPr>
        <w:t xml:space="preserve">, overall world growth is likely to weaken. </w:t>
      </w:r>
      <w:r w:rsidRPr="006540B3">
        <w:rPr>
          <w:rFonts w:ascii="Arial" w:hAnsi="Arial" w:cs="Arial"/>
          <w:color w:val="0D0D0D"/>
          <w:spacing w:val="-5"/>
          <w:sz w:val="24"/>
          <w:szCs w:val="24"/>
        </w:rPr>
        <w:t xml:space="preserve">  </w:t>
      </w:r>
    </w:p>
    <w:p w:rsidR="006540B3" w:rsidRPr="006540B3" w:rsidRDefault="006540B3" w:rsidP="00EB6F8F">
      <w:pPr>
        <w:numPr>
          <w:ilvl w:val="12"/>
          <w:numId w:val="0"/>
        </w:numPr>
        <w:overflowPunct/>
        <w:autoSpaceDE/>
        <w:autoSpaceDN/>
        <w:adjustRightInd/>
        <w:textAlignment w:val="auto"/>
        <w:rPr>
          <w:rFonts w:ascii="Arial" w:eastAsia="Calibri" w:hAnsi="Arial" w:cs="Arial"/>
          <w:color w:val="0D0D0D"/>
          <w:spacing w:val="-5"/>
          <w:szCs w:val="24"/>
        </w:rPr>
      </w:pPr>
    </w:p>
    <w:p w:rsidR="006540B3" w:rsidRPr="006540B3" w:rsidRDefault="006960B3" w:rsidP="00913B1B">
      <w:pPr>
        <w:pStyle w:val="ListParagraph"/>
        <w:numPr>
          <w:ilvl w:val="0"/>
          <w:numId w:val="15"/>
        </w:numPr>
        <w:rPr>
          <w:rFonts w:ascii="Arial" w:hAnsi="Arial" w:cs="Arial"/>
          <w:color w:val="0D0D0D"/>
          <w:spacing w:val="-5"/>
          <w:sz w:val="24"/>
          <w:szCs w:val="24"/>
        </w:rPr>
      </w:pPr>
      <w:r>
        <w:rPr>
          <w:rFonts w:ascii="Arial" w:hAnsi="Arial" w:cs="Arial"/>
          <w:b/>
          <w:bCs/>
          <w:color w:val="0D0D0D"/>
          <w:spacing w:val="-5"/>
          <w:sz w:val="24"/>
          <w:szCs w:val="24"/>
        </w:rPr>
        <w:t xml:space="preserve">Inflation </w:t>
      </w:r>
      <w:r>
        <w:rPr>
          <w:rFonts w:ascii="Arial" w:hAnsi="Arial" w:cs="Arial"/>
          <w:bCs/>
          <w:color w:val="0D0D0D"/>
          <w:spacing w:val="-5"/>
          <w:sz w:val="24"/>
          <w:szCs w:val="24"/>
        </w:rPr>
        <w:t>has been weak during 2018</w:t>
      </w:r>
      <w:r>
        <w:rPr>
          <w:rFonts w:ascii="Arial" w:hAnsi="Arial" w:cs="Arial"/>
          <w:b/>
          <w:bCs/>
          <w:color w:val="0D0D0D"/>
          <w:spacing w:val="-5"/>
          <w:sz w:val="24"/>
          <w:szCs w:val="24"/>
        </w:rPr>
        <w:t xml:space="preserve"> </w:t>
      </w:r>
      <w:r w:rsidRPr="006960B3">
        <w:rPr>
          <w:rFonts w:ascii="Arial" w:hAnsi="Arial" w:cs="Arial"/>
          <w:bCs/>
          <w:color w:val="0D0D0D"/>
          <w:spacing w:val="-5"/>
          <w:sz w:val="24"/>
          <w:szCs w:val="24"/>
        </w:rPr>
        <w:t>but, at long last,</w:t>
      </w:r>
      <w:r>
        <w:rPr>
          <w:rFonts w:ascii="Arial" w:hAnsi="Arial" w:cs="Arial"/>
          <w:bCs/>
          <w:color w:val="0D0D0D"/>
          <w:spacing w:val="-5"/>
          <w:sz w:val="24"/>
          <w:szCs w:val="24"/>
        </w:rPr>
        <w:t xml:space="preserve"> unemployment falling to remarkably low levels in the US and UK has led to a marked acceleration of wage inflation</w:t>
      </w:r>
      <w:r w:rsidR="00913B1B">
        <w:rPr>
          <w:rFonts w:ascii="Arial" w:hAnsi="Arial" w:cs="Arial"/>
          <w:bCs/>
          <w:color w:val="0D0D0D"/>
          <w:spacing w:val="-5"/>
          <w:sz w:val="24"/>
          <w:szCs w:val="24"/>
        </w:rPr>
        <w:t xml:space="preserve">. </w:t>
      </w:r>
      <w:r w:rsidR="00913B1B" w:rsidRPr="00913B1B">
        <w:rPr>
          <w:rFonts w:ascii="Arial" w:hAnsi="Arial" w:cs="Arial"/>
          <w:bCs/>
          <w:color w:val="0D0D0D"/>
          <w:spacing w:val="-5"/>
          <w:sz w:val="24"/>
          <w:szCs w:val="24"/>
        </w:rPr>
        <w:t>The US Fed has therefore increased rates nine times and the Bank of England twice.  However, the ECB is unlikely to start raising rates until late in 2019 at the earliest</w:t>
      </w:r>
      <w:r w:rsidR="00913B1B">
        <w:rPr>
          <w:rFonts w:ascii="Arial" w:hAnsi="Arial" w:cs="Arial"/>
          <w:bCs/>
          <w:color w:val="0D0D0D"/>
          <w:spacing w:val="-5"/>
          <w:sz w:val="24"/>
          <w:szCs w:val="24"/>
        </w:rPr>
        <w:t>.</w:t>
      </w:r>
    </w:p>
    <w:p w:rsidR="006540B3" w:rsidRPr="006540B3" w:rsidRDefault="006540B3" w:rsidP="00EB6F8F">
      <w:pPr>
        <w:numPr>
          <w:ilvl w:val="12"/>
          <w:numId w:val="0"/>
        </w:numPr>
        <w:overflowPunct/>
        <w:autoSpaceDE/>
        <w:autoSpaceDN/>
        <w:adjustRightInd/>
        <w:textAlignment w:val="auto"/>
        <w:rPr>
          <w:rFonts w:ascii="Arial" w:eastAsia="Calibri" w:hAnsi="Arial" w:cs="Arial"/>
          <w:color w:val="0D0D0D"/>
          <w:spacing w:val="-5"/>
          <w:szCs w:val="24"/>
        </w:rPr>
      </w:pPr>
    </w:p>
    <w:p w:rsidR="006540B3" w:rsidRPr="006540B3" w:rsidRDefault="006540B3" w:rsidP="00CE3C0B">
      <w:pPr>
        <w:pStyle w:val="ListParagraph"/>
        <w:numPr>
          <w:ilvl w:val="0"/>
          <w:numId w:val="15"/>
        </w:numPr>
        <w:rPr>
          <w:rFonts w:ascii="Arial" w:hAnsi="Arial" w:cs="Arial"/>
          <w:b/>
          <w:bCs/>
          <w:color w:val="0D0D0D"/>
          <w:spacing w:val="-5"/>
          <w:sz w:val="24"/>
          <w:szCs w:val="24"/>
        </w:rPr>
      </w:pPr>
      <w:r w:rsidRPr="006540B3">
        <w:rPr>
          <w:rFonts w:ascii="Arial" w:hAnsi="Arial" w:cs="Arial"/>
          <w:b/>
          <w:bCs/>
          <w:color w:val="0D0D0D"/>
          <w:spacing w:val="-5"/>
          <w:sz w:val="24"/>
          <w:szCs w:val="24"/>
        </w:rPr>
        <w:t>KEY RISKS - central bank monetary policy measures</w:t>
      </w:r>
    </w:p>
    <w:p w:rsidR="006540B3" w:rsidRPr="006540B3" w:rsidRDefault="006540B3" w:rsidP="00EB6F8F">
      <w:pPr>
        <w:numPr>
          <w:ilvl w:val="12"/>
          <w:numId w:val="0"/>
        </w:numPr>
        <w:overflowPunct/>
        <w:autoSpaceDE/>
        <w:autoSpaceDN/>
        <w:adjustRightInd/>
        <w:ind w:left="720"/>
        <w:textAlignment w:val="auto"/>
        <w:rPr>
          <w:rFonts w:ascii="Arial" w:eastAsia="Calibri" w:hAnsi="Arial" w:cs="Arial"/>
          <w:color w:val="0D0D0D"/>
          <w:spacing w:val="-5"/>
          <w:szCs w:val="24"/>
        </w:rPr>
      </w:pPr>
      <w:r w:rsidRPr="006540B3">
        <w:rPr>
          <w:rFonts w:ascii="Arial" w:eastAsia="Calibri" w:hAnsi="Arial" w:cs="Arial"/>
          <w:color w:val="0D0D0D"/>
          <w:spacing w:val="-5"/>
          <w:szCs w:val="24"/>
        </w:rPr>
        <w:t>Looking back on nearly ten years since the financial crash of 2008 when liquidity suddenly dried up in financial markets, it can be assessed that central banks’ monetary policy measures to counter the sharp world recession were successful. The key monetary policy measures they used were a combination of lowering central interest rates and flooding financial markets with liquidity, particularly through unconventional means such as Quantitative Easing (QE), where central banks bought large amounts of central government debt and smaller sums of other debt.</w:t>
      </w:r>
    </w:p>
    <w:p w:rsidR="006540B3" w:rsidRPr="006540B3" w:rsidRDefault="006540B3" w:rsidP="00EB6F8F">
      <w:pPr>
        <w:numPr>
          <w:ilvl w:val="12"/>
          <w:numId w:val="0"/>
        </w:numPr>
        <w:overflowPunct/>
        <w:autoSpaceDE/>
        <w:autoSpaceDN/>
        <w:adjustRightInd/>
        <w:textAlignment w:val="auto"/>
        <w:rPr>
          <w:rFonts w:ascii="Arial" w:eastAsia="Calibri" w:hAnsi="Arial" w:cs="Arial"/>
          <w:color w:val="0D0D0D"/>
          <w:spacing w:val="-5"/>
          <w:szCs w:val="24"/>
        </w:rPr>
      </w:pPr>
    </w:p>
    <w:p w:rsidR="00740666" w:rsidRDefault="006540B3" w:rsidP="001F1483">
      <w:pPr>
        <w:pStyle w:val="ListParagraph"/>
        <w:numPr>
          <w:ilvl w:val="0"/>
          <w:numId w:val="15"/>
        </w:numPr>
        <w:rPr>
          <w:rFonts w:ascii="Arial" w:hAnsi="Arial" w:cs="Arial"/>
          <w:color w:val="0D0D0D"/>
          <w:spacing w:val="-5"/>
          <w:sz w:val="24"/>
          <w:szCs w:val="24"/>
        </w:rPr>
      </w:pPr>
      <w:r w:rsidRPr="006540B3">
        <w:rPr>
          <w:rFonts w:ascii="Arial" w:hAnsi="Arial" w:cs="Arial"/>
          <w:color w:val="0D0D0D"/>
          <w:spacing w:val="-5"/>
          <w:sz w:val="24"/>
          <w:szCs w:val="24"/>
        </w:rPr>
        <w:t>The key issue now is that that period of stimulating economic recovery and warding off the threat of deflation is coming towards its close</w:t>
      </w:r>
      <w:r w:rsidR="00661871">
        <w:rPr>
          <w:rFonts w:ascii="Arial" w:hAnsi="Arial" w:cs="Arial"/>
          <w:color w:val="0D0D0D"/>
          <w:spacing w:val="-5"/>
          <w:sz w:val="24"/>
          <w:szCs w:val="24"/>
        </w:rPr>
        <w:t>. A</w:t>
      </w:r>
      <w:r w:rsidRPr="006540B3">
        <w:rPr>
          <w:rFonts w:ascii="Arial" w:hAnsi="Arial" w:cs="Arial"/>
          <w:color w:val="0D0D0D"/>
          <w:spacing w:val="-5"/>
          <w:sz w:val="24"/>
          <w:szCs w:val="24"/>
        </w:rPr>
        <w:t xml:space="preserve"> new period</w:t>
      </w:r>
      <w:r w:rsidR="001F1483">
        <w:rPr>
          <w:rFonts w:ascii="Arial" w:hAnsi="Arial" w:cs="Arial"/>
          <w:color w:val="0D0D0D"/>
          <w:spacing w:val="-5"/>
          <w:sz w:val="24"/>
          <w:szCs w:val="24"/>
        </w:rPr>
        <w:t xml:space="preserve"> is well advanced in t</w:t>
      </w:r>
      <w:r w:rsidRPr="006540B3">
        <w:rPr>
          <w:rFonts w:ascii="Arial" w:hAnsi="Arial" w:cs="Arial"/>
          <w:color w:val="0D0D0D"/>
          <w:spacing w:val="-5"/>
          <w:sz w:val="24"/>
          <w:szCs w:val="24"/>
        </w:rPr>
        <w:t>he US, and</w:t>
      </w:r>
      <w:r w:rsidR="001F1483">
        <w:rPr>
          <w:rFonts w:ascii="Arial" w:hAnsi="Arial" w:cs="Arial"/>
          <w:color w:val="0D0D0D"/>
          <w:spacing w:val="-5"/>
          <w:sz w:val="24"/>
          <w:szCs w:val="24"/>
        </w:rPr>
        <w:t xml:space="preserve"> started </w:t>
      </w:r>
      <w:r w:rsidRPr="006540B3">
        <w:rPr>
          <w:rFonts w:ascii="Arial" w:hAnsi="Arial" w:cs="Arial"/>
          <w:color w:val="0D0D0D"/>
          <w:spacing w:val="-5"/>
          <w:sz w:val="24"/>
          <w:szCs w:val="24"/>
        </w:rPr>
        <w:t>more recently in the UK, o</w:t>
      </w:r>
      <w:r w:rsidR="001F1483">
        <w:rPr>
          <w:rFonts w:ascii="Arial" w:hAnsi="Arial" w:cs="Arial"/>
          <w:color w:val="0D0D0D"/>
          <w:spacing w:val="-5"/>
          <w:sz w:val="24"/>
          <w:szCs w:val="24"/>
        </w:rPr>
        <w:t>f</w:t>
      </w:r>
      <w:r w:rsidRPr="006540B3">
        <w:rPr>
          <w:rFonts w:ascii="Arial" w:hAnsi="Arial" w:cs="Arial"/>
          <w:color w:val="0D0D0D"/>
          <w:spacing w:val="-5"/>
          <w:sz w:val="24"/>
          <w:szCs w:val="24"/>
        </w:rPr>
        <w:t xml:space="preserve"> reversing those measures i.e. by raising central rates and (for the US) reducing central banks’ holdings of government and other debt. These measures are now required in order to stop the trend of a</w:t>
      </w:r>
      <w:r w:rsidR="00661871">
        <w:rPr>
          <w:rFonts w:ascii="Arial" w:hAnsi="Arial" w:cs="Arial"/>
          <w:color w:val="0D0D0D"/>
          <w:spacing w:val="-5"/>
          <w:sz w:val="24"/>
          <w:szCs w:val="24"/>
        </w:rPr>
        <w:t xml:space="preserve"> </w:t>
      </w:r>
      <w:r w:rsidRPr="006540B3">
        <w:rPr>
          <w:rFonts w:ascii="Arial" w:hAnsi="Arial" w:cs="Arial"/>
          <w:color w:val="0D0D0D"/>
          <w:spacing w:val="-5"/>
          <w:sz w:val="24"/>
          <w:szCs w:val="24"/>
        </w:rPr>
        <w:t xml:space="preserve">reduction in spare capacity in the economy, and of unemployment falling to such low levels that the re-emergence of inflation is viewed as a major risk. It is, therefore, crucial that central banks get their timing right and do not cause shocks to market expectations that could destabilise financial markets. In particular, a key risk is that because QE-driven purchases of bonds drove up the price of government debt, and therefore caused a sharp drop in income yields, this also encouraged investors into a search for yield and into investing in riskier assets such as equities. </w:t>
      </w:r>
      <w:r w:rsidR="00661871">
        <w:rPr>
          <w:rFonts w:ascii="Arial" w:hAnsi="Arial" w:cs="Arial"/>
          <w:color w:val="0D0D0D"/>
          <w:spacing w:val="-5"/>
          <w:sz w:val="24"/>
          <w:szCs w:val="24"/>
        </w:rPr>
        <w:t xml:space="preserve">Consequently, prices in both </w:t>
      </w:r>
      <w:r w:rsidRPr="006540B3">
        <w:rPr>
          <w:rFonts w:ascii="Arial" w:hAnsi="Arial" w:cs="Arial"/>
          <w:color w:val="0D0D0D"/>
          <w:spacing w:val="-5"/>
          <w:sz w:val="24"/>
          <w:szCs w:val="24"/>
        </w:rPr>
        <w:t>bond and equity market</w:t>
      </w:r>
      <w:r w:rsidR="00661871">
        <w:rPr>
          <w:rFonts w:ascii="Arial" w:hAnsi="Arial" w:cs="Arial"/>
          <w:color w:val="0D0D0D"/>
          <w:spacing w:val="-5"/>
          <w:sz w:val="24"/>
          <w:szCs w:val="24"/>
        </w:rPr>
        <w:t xml:space="preserve">s rose to </w:t>
      </w:r>
      <w:r w:rsidRPr="006540B3">
        <w:rPr>
          <w:rFonts w:ascii="Arial" w:hAnsi="Arial" w:cs="Arial"/>
          <w:color w:val="0D0D0D"/>
          <w:spacing w:val="-5"/>
          <w:sz w:val="24"/>
          <w:szCs w:val="24"/>
        </w:rPr>
        <w:t>historically high valuation levels simultaneously. This</w:t>
      </w:r>
      <w:r w:rsidR="00661871">
        <w:rPr>
          <w:rFonts w:ascii="Arial" w:hAnsi="Arial" w:cs="Arial"/>
          <w:color w:val="0D0D0D"/>
          <w:spacing w:val="-5"/>
          <w:sz w:val="24"/>
          <w:szCs w:val="24"/>
        </w:rPr>
        <w:t xml:space="preserve"> mean</w:t>
      </w:r>
      <w:r w:rsidR="001F1483">
        <w:rPr>
          <w:rFonts w:ascii="Arial" w:hAnsi="Arial" w:cs="Arial"/>
          <w:color w:val="0D0D0D"/>
          <w:spacing w:val="-5"/>
          <w:sz w:val="24"/>
          <w:szCs w:val="24"/>
        </w:rPr>
        <w:t>t</w:t>
      </w:r>
      <w:r w:rsidR="00661871">
        <w:rPr>
          <w:rFonts w:ascii="Arial" w:hAnsi="Arial" w:cs="Arial"/>
          <w:color w:val="0D0D0D"/>
          <w:spacing w:val="-5"/>
          <w:sz w:val="24"/>
          <w:szCs w:val="24"/>
        </w:rPr>
        <w:t xml:space="preserve"> that both</w:t>
      </w:r>
      <w:r w:rsidRPr="006540B3">
        <w:rPr>
          <w:rFonts w:ascii="Arial" w:hAnsi="Arial" w:cs="Arial"/>
          <w:color w:val="0D0D0D"/>
          <w:spacing w:val="-5"/>
          <w:sz w:val="24"/>
          <w:szCs w:val="24"/>
        </w:rPr>
        <w:t xml:space="preserve"> asset categories</w:t>
      </w:r>
      <w:r w:rsidR="00661871">
        <w:rPr>
          <w:rFonts w:ascii="Arial" w:hAnsi="Arial" w:cs="Arial"/>
          <w:color w:val="0D0D0D"/>
          <w:spacing w:val="-5"/>
          <w:sz w:val="24"/>
          <w:szCs w:val="24"/>
        </w:rPr>
        <w:t xml:space="preserve"> </w:t>
      </w:r>
      <w:r w:rsidR="001F1483">
        <w:rPr>
          <w:rFonts w:ascii="Arial" w:hAnsi="Arial" w:cs="Arial"/>
          <w:color w:val="0D0D0D"/>
          <w:spacing w:val="-5"/>
          <w:sz w:val="24"/>
          <w:szCs w:val="24"/>
        </w:rPr>
        <w:t xml:space="preserve">were exposed to the risk of a sharp downward </w:t>
      </w:r>
      <w:r w:rsidRPr="006540B3">
        <w:rPr>
          <w:rFonts w:ascii="Arial" w:hAnsi="Arial" w:cs="Arial"/>
          <w:color w:val="0D0D0D"/>
          <w:spacing w:val="-5"/>
          <w:sz w:val="24"/>
          <w:szCs w:val="24"/>
        </w:rPr>
        <w:t>correction</w:t>
      </w:r>
      <w:r w:rsidR="001F1483">
        <w:rPr>
          <w:rFonts w:ascii="Arial" w:hAnsi="Arial" w:cs="Arial"/>
          <w:color w:val="0D0D0D"/>
          <w:spacing w:val="-5"/>
          <w:sz w:val="24"/>
          <w:szCs w:val="24"/>
        </w:rPr>
        <w:t xml:space="preserve"> and we have indeed, seen a sharp fall in equity values in the last quarter of 2018.</w:t>
      </w:r>
      <w:r w:rsidRPr="006540B3">
        <w:rPr>
          <w:rFonts w:ascii="Arial" w:hAnsi="Arial" w:cs="Arial"/>
          <w:color w:val="0D0D0D"/>
          <w:spacing w:val="-5"/>
          <w:sz w:val="24"/>
          <w:szCs w:val="24"/>
        </w:rPr>
        <w:t> It is important, therefore, that central banks only gradually unwind their holdings of bonds in order to prevent destabilising the financial markets. It is also likely that the timeframe for central banks unwinding their holdings of QE debt purchases will be over several years. They need to balance their timing to neither squash economic recovery</w:t>
      </w:r>
      <w:r w:rsidR="00661871">
        <w:rPr>
          <w:rFonts w:ascii="Arial" w:hAnsi="Arial" w:cs="Arial"/>
          <w:color w:val="0D0D0D"/>
          <w:spacing w:val="-5"/>
          <w:sz w:val="24"/>
          <w:szCs w:val="24"/>
        </w:rPr>
        <w:t>,</w:t>
      </w:r>
      <w:r w:rsidRPr="006540B3">
        <w:rPr>
          <w:rFonts w:ascii="Arial" w:hAnsi="Arial" w:cs="Arial"/>
          <w:color w:val="0D0D0D"/>
          <w:spacing w:val="-5"/>
          <w:sz w:val="24"/>
          <w:szCs w:val="24"/>
        </w:rPr>
        <w:t xml:space="preserve"> by taking too rapid and too strong action, or, </w:t>
      </w:r>
      <w:r w:rsidR="00661871">
        <w:rPr>
          <w:rFonts w:ascii="Arial" w:hAnsi="Arial" w:cs="Arial"/>
          <w:color w:val="0D0D0D"/>
          <w:spacing w:val="-5"/>
          <w:sz w:val="24"/>
          <w:szCs w:val="24"/>
        </w:rPr>
        <w:t>conversely</w:t>
      </w:r>
      <w:r w:rsidRPr="006540B3">
        <w:rPr>
          <w:rFonts w:ascii="Arial" w:hAnsi="Arial" w:cs="Arial"/>
          <w:color w:val="0D0D0D"/>
          <w:spacing w:val="-5"/>
          <w:sz w:val="24"/>
          <w:szCs w:val="24"/>
        </w:rPr>
        <w:t xml:space="preserve">, let inflation run away by taking action that was too slow and/or too weak. </w:t>
      </w:r>
      <w:r w:rsidRPr="006540B3">
        <w:rPr>
          <w:rFonts w:ascii="Arial" w:hAnsi="Arial" w:cs="Arial"/>
          <w:b/>
          <w:bCs/>
          <w:color w:val="0D0D0D"/>
          <w:spacing w:val="-5"/>
          <w:sz w:val="24"/>
          <w:szCs w:val="24"/>
        </w:rPr>
        <w:t>The potential for central banks to get this timing and strength of action wrong are now key risks.</w:t>
      </w:r>
      <w:r w:rsidR="001F1483">
        <w:rPr>
          <w:rFonts w:ascii="Arial" w:hAnsi="Arial" w:cs="Arial"/>
          <w:b/>
          <w:bCs/>
          <w:color w:val="0D0D0D"/>
          <w:spacing w:val="-5"/>
          <w:sz w:val="24"/>
          <w:szCs w:val="24"/>
        </w:rPr>
        <w:t xml:space="preserve"> </w:t>
      </w:r>
      <w:r w:rsidRPr="006540B3">
        <w:rPr>
          <w:rFonts w:ascii="Arial" w:hAnsi="Arial" w:cs="Arial"/>
          <w:color w:val="0D0D0D"/>
          <w:spacing w:val="-5"/>
          <w:sz w:val="24"/>
          <w:szCs w:val="24"/>
        </w:rPr>
        <w:t> </w:t>
      </w:r>
      <w:r w:rsidR="001F1483" w:rsidRPr="001F1483">
        <w:rPr>
          <w:rFonts w:ascii="Arial" w:hAnsi="Arial" w:cs="Arial"/>
          <w:color w:val="0D0D0D"/>
          <w:spacing w:val="-5"/>
          <w:sz w:val="24"/>
          <w:szCs w:val="24"/>
        </w:rPr>
        <w:t>At the time of writing, (early January 2019), financial markets are very concerned that the Fed is being too aggressive with its policy for raising interest rates and was likely to cause a recession in the US economy</w:t>
      </w:r>
    </w:p>
    <w:p w:rsidR="006540B3" w:rsidRDefault="006540B3" w:rsidP="00740666">
      <w:pPr>
        <w:pStyle w:val="ListParagraph"/>
        <w:rPr>
          <w:rFonts w:ascii="Arial" w:hAnsi="Arial" w:cs="Arial"/>
          <w:color w:val="0D0D0D"/>
          <w:spacing w:val="-5"/>
          <w:sz w:val="24"/>
          <w:szCs w:val="24"/>
        </w:rPr>
      </w:pPr>
      <w:r w:rsidRPr="006540B3">
        <w:rPr>
          <w:rFonts w:ascii="Arial" w:hAnsi="Arial" w:cs="Arial"/>
          <w:color w:val="0D0D0D"/>
          <w:spacing w:val="-5"/>
          <w:sz w:val="24"/>
          <w:szCs w:val="24"/>
        </w:rPr>
        <w:t xml:space="preserve"> </w:t>
      </w:r>
    </w:p>
    <w:p w:rsidR="00740666" w:rsidRDefault="00740666" w:rsidP="00CE3C0B">
      <w:pPr>
        <w:pStyle w:val="ListParagraph"/>
        <w:numPr>
          <w:ilvl w:val="0"/>
          <w:numId w:val="15"/>
        </w:numPr>
        <w:rPr>
          <w:rFonts w:ascii="Arial" w:hAnsi="Arial" w:cs="Arial"/>
          <w:color w:val="0D0D0D"/>
          <w:spacing w:val="-5"/>
          <w:sz w:val="24"/>
          <w:szCs w:val="24"/>
        </w:rPr>
      </w:pPr>
      <w:r w:rsidRPr="00740666">
        <w:rPr>
          <w:rFonts w:ascii="Arial" w:hAnsi="Arial" w:cs="Arial"/>
          <w:color w:val="0D0D0D"/>
          <w:spacing w:val="-5"/>
          <w:sz w:val="24"/>
          <w:szCs w:val="24"/>
        </w:rPr>
        <w:lastRenderedPageBreak/>
        <w:t>The world economy also needs to adjust to a sharp change in liquidity creation over the last five years where the US has moved from boosting liquidity by QE purchases, to reducing its holdings of debt</w:t>
      </w:r>
      <w:r w:rsidR="001F1483">
        <w:rPr>
          <w:rFonts w:ascii="Arial" w:hAnsi="Arial" w:cs="Arial"/>
          <w:color w:val="0D0D0D"/>
          <w:spacing w:val="-5"/>
          <w:sz w:val="24"/>
          <w:szCs w:val="24"/>
        </w:rPr>
        <w:t>, (currently about $50bn per month)</w:t>
      </w:r>
      <w:r w:rsidRPr="00740666">
        <w:rPr>
          <w:rFonts w:ascii="Arial" w:hAnsi="Arial" w:cs="Arial"/>
          <w:color w:val="0D0D0D"/>
          <w:spacing w:val="-5"/>
          <w:sz w:val="24"/>
          <w:szCs w:val="24"/>
        </w:rPr>
        <w:t xml:space="preserve">.  In addition, the European Central Bank </w:t>
      </w:r>
      <w:r w:rsidR="001F1483">
        <w:rPr>
          <w:rFonts w:ascii="Arial" w:hAnsi="Arial" w:cs="Arial"/>
          <w:color w:val="0D0D0D"/>
          <w:spacing w:val="-5"/>
          <w:sz w:val="24"/>
          <w:szCs w:val="24"/>
        </w:rPr>
        <w:t>ended</w:t>
      </w:r>
      <w:r w:rsidRPr="00740666">
        <w:rPr>
          <w:rFonts w:ascii="Arial" w:hAnsi="Arial" w:cs="Arial"/>
          <w:color w:val="0D0D0D"/>
          <w:spacing w:val="-5"/>
          <w:sz w:val="24"/>
          <w:szCs w:val="24"/>
        </w:rPr>
        <w:t xml:space="preserve"> QE purchases </w:t>
      </w:r>
      <w:r w:rsidR="001F1483">
        <w:rPr>
          <w:rFonts w:ascii="Arial" w:hAnsi="Arial" w:cs="Arial"/>
          <w:color w:val="0D0D0D"/>
          <w:spacing w:val="-5"/>
          <w:sz w:val="24"/>
          <w:szCs w:val="24"/>
        </w:rPr>
        <w:t>in December 2018</w:t>
      </w:r>
      <w:r w:rsidRPr="00740666">
        <w:rPr>
          <w:rFonts w:ascii="Arial" w:hAnsi="Arial" w:cs="Arial"/>
          <w:color w:val="0D0D0D"/>
          <w:spacing w:val="-5"/>
          <w:sz w:val="24"/>
          <w:szCs w:val="24"/>
        </w:rPr>
        <w:t>.</w:t>
      </w:r>
    </w:p>
    <w:p w:rsidR="00740666" w:rsidRPr="00740666" w:rsidRDefault="00740666" w:rsidP="00740666">
      <w:pPr>
        <w:pStyle w:val="ListParagraph"/>
        <w:rPr>
          <w:rFonts w:ascii="Arial" w:hAnsi="Arial" w:cs="Arial"/>
          <w:color w:val="0D0D0D"/>
          <w:spacing w:val="-5"/>
          <w:sz w:val="24"/>
          <w:szCs w:val="24"/>
        </w:rPr>
      </w:pPr>
    </w:p>
    <w:p w:rsidR="00740666" w:rsidRDefault="00740666" w:rsidP="00CE3C0B">
      <w:pPr>
        <w:pStyle w:val="ListParagraph"/>
        <w:numPr>
          <w:ilvl w:val="0"/>
          <w:numId w:val="15"/>
        </w:numPr>
        <w:rPr>
          <w:rFonts w:ascii="Arial" w:hAnsi="Arial" w:cs="Arial"/>
          <w:color w:val="0D0D0D"/>
          <w:spacing w:val="-5"/>
          <w:sz w:val="24"/>
          <w:szCs w:val="24"/>
        </w:rPr>
      </w:pPr>
      <w:r w:rsidRPr="0011525A">
        <w:rPr>
          <w:rFonts w:ascii="Arial" w:hAnsi="Arial" w:cs="Arial"/>
          <w:b/>
          <w:color w:val="0D0D0D"/>
          <w:spacing w:val="-5"/>
          <w:sz w:val="24"/>
          <w:szCs w:val="24"/>
        </w:rPr>
        <w:t>UK</w:t>
      </w:r>
      <w:r w:rsidRPr="00740666">
        <w:rPr>
          <w:rFonts w:ascii="Arial" w:hAnsi="Arial" w:cs="Arial"/>
          <w:color w:val="0D0D0D"/>
          <w:spacing w:val="-5"/>
          <w:sz w:val="24"/>
          <w:szCs w:val="24"/>
        </w:rPr>
        <w:t xml:space="preserve">. The flow of positive economic statistics since the end of the first quarter </w:t>
      </w:r>
      <w:r w:rsidR="001F1483">
        <w:rPr>
          <w:rFonts w:ascii="Arial" w:hAnsi="Arial" w:cs="Arial"/>
          <w:color w:val="0D0D0D"/>
          <w:spacing w:val="-5"/>
          <w:sz w:val="24"/>
          <w:szCs w:val="24"/>
        </w:rPr>
        <w:t>of 2018</w:t>
      </w:r>
      <w:r w:rsidRPr="00740666">
        <w:rPr>
          <w:rFonts w:ascii="Arial" w:hAnsi="Arial" w:cs="Arial"/>
          <w:color w:val="0D0D0D"/>
          <w:spacing w:val="-5"/>
          <w:sz w:val="24"/>
          <w:szCs w:val="24"/>
        </w:rPr>
        <w:t xml:space="preserve"> has shown that pessimism was overdone about the poor growth in quarter 1 when adverse weather caused a temporary downward blip.  Quarter 1 at 0.1% growth in GDP was followed by a return to 0.4% in quarter 2</w:t>
      </w:r>
      <w:r w:rsidR="001F1483">
        <w:rPr>
          <w:rFonts w:ascii="Arial" w:hAnsi="Arial" w:cs="Arial"/>
          <w:color w:val="0D0D0D"/>
          <w:spacing w:val="-5"/>
          <w:sz w:val="24"/>
          <w:szCs w:val="24"/>
        </w:rPr>
        <w:t xml:space="preserve"> and by a strong performance in</w:t>
      </w:r>
      <w:r w:rsidRPr="00740666">
        <w:rPr>
          <w:rFonts w:ascii="Arial" w:hAnsi="Arial" w:cs="Arial"/>
          <w:color w:val="0D0D0D"/>
          <w:spacing w:val="-5"/>
          <w:sz w:val="24"/>
          <w:szCs w:val="24"/>
        </w:rPr>
        <w:t xml:space="preserve"> quarter 3 </w:t>
      </w:r>
      <w:r w:rsidR="001F1483">
        <w:rPr>
          <w:rFonts w:ascii="Arial" w:hAnsi="Arial" w:cs="Arial"/>
          <w:color w:val="0D0D0D"/>
          <w:spacing w:val="-5"/>
          <w:sz w:val="24"/>
          <w:szCs w:val="24"/>
        </w:rPr>
        <w:t>of</w:t>
      </w:r>
      <w:r w:rsidRPr="00740666">
        <w:rPr>
          <w:rFonts w:ascii="Arial" w:hAnsi="Arial" w:cs="Arial"/>
          <w:color w:val="0D0D0D"/>
          <w:spacing w:val="-5"/>
          <w:sz w:val="24"/>
          <w:szCs w:val="24"/>
        </w:rPr>
        <w:t xml:space="preserve"> +0.6%</w:t>
      </w:r>
      <w:r w:rsidR="006E2691">
        <w:rPr>
          <w:rFonts w:ascii="Arial" w:hAnsi="Arial" w:cs="Arial"/>
          <w:color w:val="0D0D0D"/>
          <w:spacing w:val="-5"/>
          <w:sz w:val="24"/>
          <w:szCs w:val="24"/>
        </w:rPr>
        <w:t>. However, growth in</w:t>
      </w:r>
      <w:r w:rsidRPr="00740666">
        <w:rPr>
          <w:rFonts w:ascii="Arial" w:hAnsi="Arial" w:cs="Arial"/>
          <w:color w:val="0D0D0D"/>
          <w:spacing w:val="-5"/>
          <w:sz w:val="24"/>
          <w:szCs w:val="24"/>
        </w:rPr>
        <w:t xml:space="preserve"> quarter 4 is expected to weaken </w:t>
      </w:r>
      <w:r w:rsidR="006E2691">
        <w:rPr>
          <w:rFonts w:ascii="Arial" w:hAnsi="Arial" w:cs="Arial"/>
          <w:color w:val="0D0D0D"/>
          <w:spacing w:val="-5"/>
          <w:sz w:val="24"/>
          <w:szCs w:val="24"/>
        </w:rPr>
        <w:t>significantly</w:t>
      </w:r>
      <w:r>
        <w:rPr>
          <w:rFonts w:ascii="Arial" w:hAnsi="Arial" w:cs="Arial"/>
          <w:color w:val="0D0D0D"/>
          <w:spacing w:val="-5"/>
          <w:sz w:val="24"/>
          <w:szCs w:val="24"/>
        </w:rPr>
        <w:t>.</w:t>
      </w:r>
    </w:p>
    <w:p w:rsidR="00740666" w:rsidRPr="00740666" w:rsidRDefault="00740666" w:rsidP="00740666">
      <w:pPr>
        <w:pStyle w:val="ListParagraph"/>
        <w:rPr>
          <w:rFonts w:ascii="Arial" w:hAnsi="Arial" w:cs="Arial"/>
          <w:color w:val="0D0D0D"/>
          <w:spacing w:val="-5"/>
          <w:sz w:val="24"/>
          <w:szCs w:val="24"/>
        </w:rPr>
      </w:pPr>
    </w:p>
    <w:p w:rsidR="00740666" w:rsidRDefault="00740666" w:rsidP="001A513E">
      <w:pPr>
        <w:pStyle w:val="ListParagraph"/>
        <w:numPr>
          <w:ilvl w:val="0"/>
          <w:numId w:val="15"/>
        </w:numPr>
        <w:rPr>
          <w:rFonts w:ascii="Arial" w:hAnsi="Arial" w:cs="Arial"/>
          <w:color w:val="0D0D0D"/>
          <w:spacing w:val="-5"/>
          <w:sz w:val="24"/>
          <w:szCs w:val="24"/>
        </w:rPr>
      </w:pPr>
      <w:r w:rsidRPr="00740666">
        <w:rPr>
          <w:rFonts w:ascii="Arial" w:hAnsi="Arial" w:cs="Arial"/>
          <w:color w:val="0D0D0D"/>
          <w:spacing w:val="-5"/>
          <w:sz w:val="24"/>
          <w:szCs w:val="24"/>
        </w:rPr>
        <w:t xml:space="preserve">At their November </w:t>
      </w:r>
      <w:r w:rsidR="001A513E">
        <w:rPr>
          <w:rFonts w:ascii="Arial" w:hAnsi="Arial" w:cs="Arial"/>
          <w:color w:val="0D0D0D"/>
          <w:spacing w:val="-5"/>
          <w:sz w:val="24"/>
          <w:szCs w:val="24"/>
        </w:rPr>
        <w:t xml:space="preserve">quarterly inflation </w:t>
      </w:r>
      <w:r w:rsidRPr="00740666">
        <w:rPr>
          <w:rFonts w:ascii="Arial" w:hAnsi="Arial" w:cs="Arial"/>
          <w:color w:val="0D0D0D"/>
          <w:spacing w:val="-5"/>
          <w:sz w:val="24"/>
          <w:szCs w:val="24"/>
        </w:rPr>
        <w:t xml:space="preserve">meeting, the MPC repeated their well-worn phrase that future Bank Rate increases would be gradual and would rise to a much lower equilibrium rate, (where monetary policy is neither expansionary of contractionary), than before the crash; indeed they gave a figure for this of around 2.5% in ten years time but declined to give a medium term forecast. However, with so much uncertainty around Brexit, they warned that the next move could be up or down, even if there was a disorderly Brexit. While it would be expected that Bank Rate could be cut if there was a significant fall in GDP growth as a result of a disorderly Brexit, so as to provide a stimulus to growth, they warned they could also raise Bank Rate in the same scenario if there was a boost to inflation from a devaluation of sterling, increases in import prices and more expensive goods produced in the UK replacing cheaper goods previously imported, and so on. In addition, the Chancellor </w:t>
      </w:r>
      <w:r w:rsidR="001A513E" w:rsidRPr="001A513E">
        <w:rPr>
          <w:rFonts w:ascii="Arial" w:hAnsi="Arial" w:cs="Arial"/>
          <w:color w:val="0D0D0D"/>
          <w:spacing w:val="-5"/>
          <w:sz w:val="24"/>
          <w:szCs w:val="24"/>
        </w:rPr>
        <w:t>could poten</w:t>
      </w:r>
      <w:r w:rsidR="001A513E">
        <w:rPr>
          <w:rFonts w:ascii="Arial" w:hAnsi="Arial" w:cs="Arial"/>
          <w:color w:val="0D0D0D"/>
          <w:spacing w:val="-5"/>
          <w:sz w:val="24"/>
          <w:szCs w:val="24"/>
        </w:rPr>
        <w:t xml:space="preserve">tially </w:t>
      </w:r>
      <w:r w:rsidR="001A513E" w:rsidRPr="001A513E">
        <w:rPr>
          <w:rFonts w:ascii="Arial" w:hAnsi="Arial" w:cs="Arial"/>
          <w:color w:val="0D0D0D"/>
          <w:spacing w:val="-5"/>
          <w:sz w:val="24"/>
          <w:szCs w:val="24"/>
        </w:rPr>
        <w:t xml:space="preserve">provide fiscal stimulus to support economic growth, though at the cost of increasing the budget deficit above currently projected </w:t>
      </w:r>
      <w:r w:rsidR="001A513E">
        <w:rPr>
          <w:rFonts w:ascii="Arial" w:hAnsi="Arial" w:cs="Arial"/>
          <w:color w:val="0D0D0D"/>
          <w:spacing w:val="-5"/>
          <w:sz w:val="24"/>
          <w:szCs w:val="24"/>
        </w:rPr>
        <w:t>levels.</w:t>
      </w:r>
    </w:p>
    <w:p w:rsidR="00740666" w:rsidRPr="00740666" w:rsidRDefault="00740666" w:rsidP="00740666">
      <w:pPr>
        <w:pStyle w:val="ListParagraph"/>
        <w:rPr>
          <w:rFonts w:ascii="Arial" w:hAnsi="Arial" w:cs="Arial"/>
          <w:color w:val="0D0D0D"/>
          <w:spacing w:val="-5"/>
          <w:sz w:val="24"/>
          <w:szCs w:val="24"/>
        </w:rPr>
      </w:pPr>
    </w:p>
    <w:p w:rsidR="00740666" w:rsidRDefault="00740666" w:rsidP="00CE3C0B">
      <w:pPr>
        <w:pStyle w:val="ListParagraph"/>
        <w:numPr>
          <w:ilvl w:val="0"/>
          <w:numId w:val="15"/>
        </w:numPr>
        <w:rPr>
          <w:rFonts w:ascii="Arial" w:hAnsi="Arial" w:cs="Arial"/>
          <w:color w:val="0D0D0D"/>
          <w:spacing w:val="-5"/>
          <w:sz w:val="24"/>
          <w:szCs w:val="24"/>
        </w:rPr>
      </w:pPr>
      <w:r w:rsidRPr="00740666">
        <w:rPr>
          <w:rFonts w:ascii="Arial" w:hAnsi="Arial" w:cs="Arial"/>
          <w:color w:val="0D0D0D"/>
          <w:spacing w:val="-5"/>
          <w:sz w:val="24"/>
          <w:szCs w:val="24"/>
        </w:rPr>
        <w:t xml:space="preserve">It is unlikely that the MPC would increase Bank Rate in February 2019, ahead of the deadline in March for Brexit.  Getting parliamentary approval for a Brexit agreement on both sides of the Channel will take well into spring </w:t>
      </w:r>
      <w:r w:rsidR="001A513E">
        <w:rPr>
          <w:rFonts w:ascii="Arial" w:hAnsi="Arial" w:cs="Arial"/>
          <w:color w:val="0D0D0D"/>
          <w:spacing w:val="-5"/>
          <w:sz w:val="24"/>
          <w:szCs w:val="24"/>
        </w:rPr>
        <w:t>2019</w:t>
      </w:r>
      <w:r w:rsidRPr="00740666">
        <w:rPr>
          <w:rFonts w:ascii="Arial" w:hAnsi="Arial" w:cs="Arial"/>
          <w:color w:val="0D0D0D"/>
          <w:spacing w:val="-5"/>
          <w:sz w:val="24"/>
          <w:szCs w:val="24"/>
        </w:rPr>
        <w:t>.  However, in view of the hawkish stance of the MPC at their November meeting, the next increase in Bank Rate is now forecast to be in May 2019</w:t>
      </w:r>
      <w:r w:rsidR="00B302BB">
        <w:rPr>
          <w:rFonts w:ascii="Arial" w:hAnsi="Arial" w:cs="Arial"/>
          <w:color w:val="0D0D0D"/>
          <w:spacing w:val="-5"/>
          <w:sz w:val="24"/>
          <w:szCs w:val="24"/>
        </w:rPr>
        <w:t xml:space="preserve"> (on the assumption that a Brexit deal is agreed by both the UK and the EU)</w:t>
      </w:r>
      <w:r w:rsidRPr="00740666">
        <w:rPr>
          <w:rFonts w:ascii="Arial" w:hAnsi="Arial" w:cs="Arial"/>
          <w:color w:val="0D0D0D"/>
          <w:spacing w:val="-5"/>
          <w:sz w:val="24"/>
          <w:szCs w:val="24"/>
        </w:rPr>
        <w:t>. The following increases are then forecast to be in February and November 2020 before ending up at 2.0% in February 2022.</w:t>
      </w:r>
    </w:p>
    <w:p w:rsidR="00740666" w:rsidRPr="00740666" w:rsidRDefault="00740666" w:rsidP="00740666">
      <w:pPr>
        <w:pStyle w:val="ListParagraph"/>
        <w:rPr>
          <w:rFonts w:ascii="Arial" w:hAnsi="Arial" w:cs="Arial"/>
          <w:color w:val="0D0D0D"/>
          <w:spacing w:val="-5"/>
          <w:sz w:val="24"/>
          <w:szCs w:val="24"/>
        </w:rPr>
      </w:pPr>
    </w:p>
    <w:p w:rsidR="00740666" w:rsidRPr="006540B3" w:rsidRDefault="00740666" w:rsidP="00CE3C0B">
      <w:pPr>
        <w:pStyle w:val="ListParagraph"/>
        <w:numPr>
          <w:ilvl w:val="0"/>
          <w:numId w:val="15"/>
        </w:numPr>
        <w:rPr>
          <w:rFonts w:ascii="Arial" w:hAnsi="Arial" w:cs="Arial"/>
          <w:color w:val="0D0D0D"/>
          <w:spacing w:val="-5"/>
          <w:sz w:val="24"/>
          <w:szCs w:val="24"/>
        </w:rPr>
      </w:pPr>
      <w:r w:rsidRPr="0011525A">
        <w:rPr>
          <w:rFonts w:ascii="Arial" w:hAnsi="Arial" w:cs="Arial"/>
          <w:b/>
          <w:color w:val="0D0D0D"/>
          <w:spacing w:val="-5"/>
          <w:sz w:val="24"/>
          <w:szCs w:val="24"/>
        </w:rPr>
        <w:t>Inflation</w:t>
      </w:r>
      <w:r w:rsidRPr="00740666">
        <w:rPr>
          <w:rFonts w:ascii="Arial" w:hAnsi="Arial" w:cs="Arial"/>
          <w:color w:val="0D0D0D"/>
          <w:spacing w:val="-5"/>
          <w:sz w:val="24"/>
          <w:szCs w:val="24"/>
        </w:rPr>
        <w:t xml:space="preserve">.  The Consumer Price Index (CPI) measure of inflation </w:t>
      </w:r>
      <w:r w:rsidR="00B302BB">
        <w:rPr>
          <w:rFonts w:ascii="Arial" w:hAnsi="Arial" w:cs="Arial"/>
          <w:color w:val="0D0D0D"/>
          <w:spacing w:val="-5"/>
          <w:sz w:val="24"/>
          <w:szCs w:val="24"/>
        </w:rPr>
        <w:t>has been falling from a peak of 3.1% in November 2017 to 2.3% in November 2018</w:t>
      </w:r>
      <w:r w:rsidRPr="00740666">
        <w:rPr>
          <w:rFonts w:ascii="Arial" w:hAnsi="Arial" w:cs="Arial"/>
          <w:color w:val="0D0D0D"/>
          <w:spacing w:val="-5"/>
          <w:sz w:val="24"/>
          <w:szCs w:val="24"/>
        </w:rPr>
        <w:t>. In the November Bank of England quarterly inflation report, inflation was forecast to still be marginally above its 2% inflation target two years ahead, (at about 2.1%), given a scenario of minimal increases in Bank Rate.   This inflation forecast is likely to be amended upwards due to the Bank’s report being produced prior to the Chancellor’s announcement of a significant fiscal stimulus in the Budget; this is likely to add 0.3% to GDP growth at a time when there is little spare capacity left in the economy, particularly of labour</w:t>
      </w:r>
      <w:r>
        <w:rPr>
          <w:rFonts w:ascii="Arial" w:hAnsi="Arial" w:cs="Arial"/>
          <w:color w:val="0D0D0D"/>
          <w:spacing w:val="-5"/>
          <w:sz w:val="24"/>
          <w:szCs w:val="24"/>
        </w:rPr>
        <w:t>.</w:t>
      </w:r>
    </w:p>
    <w:p w:rsidR="006540B3" w:rsidRPr="006540B3" w:rsidRDefault="006540B3" w:rsidP="00EB6F8F">
      <w:pPr>
        <w:numPr>
          <w:ilvl w:val="12"/>
          <w:numId w:val="0"/>
        </w:numPr>
        <w:overflowPunct/>
        <w:autoSpaceDE/>
        <w:autoSpaceDN/>
        <w:adjustRightInd/>
        <w:textAlignment w:val="auto"/>
        <w:rPr>
          <w:rFonts w:ascii="Arial" w:eastAsia="Calibri" w:hAnsi="Arial" w:cs="Arial"/>
          <w:color w:val="0D0D0D"/>
          <w:spacing w:val="-5"/>
          <w:szCs w:val="24"/>
        </w:rPr>
      </w:pPr>
    </w:p>
    <w:p w:rsidR="006540B3" w:rsidRDefault="00740666" w:rsidP="00CE3C0B">
      <w:pPr>
        <w:pStyle w:val="ListParagraph"/>
        <w:numPr>
          <w:ilvl w:val="0"/>
          <w:numId w:val="15"/>
        </w:numPr>
        <w:rPr>
          <w:rFonts w:ascii="Arial" w:hAnsi="Arial" w:cs="Arial"/>
          <w:color w:val="0D0D0D"/>
          <w:spacing w:val="-5"/>
          <w:sz w:val="24"/>
          <w:szCs w:val="24"/>
        </w:rPr>
      </w:pPr>
      <w:r w:rsidRPr="00740666">
        <w:rPr>
          <w:rFonts w:ascii="Arial" w:hAnsi="Arial" w:cs="Arial"/>
          <w:color w:val="0D0D0D"/>
          <w:spacing w:val="-5"/>
          <w:sz w:val="24"/>
          <w:szCs w:val="24"/>
        </w:rPr>
        <w:t>As for the labour market</w:t>
      </w:r>
      <w:r w:rsidR="00FF02D6">
        <w:rPr>
          <w:rFonts w:ascii="Arial" w:hAnsi="Arial" w:cs="Arial"/>
          <w:color w:val="0D0D0D"/>
          <w:spacing w:val="-5"/>
          <w:sz w:val="24"/>
          <w:szCs w:val="24"/>
        </w:rPr>
        <w:t xml:space="preserve"> figures in October 2018</w:t>
      </w:r>
      <w:r w:rsidRPr="00740666">
        <w:rPr>
          <w:rFonts w:ascii="Arial" w:hAnsi="Arial" w:cs="Arial"/>
          <w:color w:val="0D0D0D"/>
          <w:spacing w:val="-5"/>
          <w:sz w:val="24"/>
          <w:szCs w:val="24"/>
        </w:rPr>
        <w:t>, unemployment</w:t>
      </w:r>
      <w:r w:rsidR="00FF02D6">
        <w:rPr>
          <w:rFonts w:ascii="Arial" w:hAnsi="Arial" w:cs="Arial"/>
          <w:color w:val="0D0D0D"/>
          <w:spacing w:val="-5"/>
          <w:sz w:val="24"/>
          <w:szCs w:val="24"/>
        </w:rPr>
        <w:t xml:space="preserve"> at 4.1% was marginally above a 43 year low of 4% </w:t>
      </w:r>
      <w:r w:rsidRPr="00740666">
        <w:rPr>
          <w:rFonts w:ascii="Arial" w:hAnsi="Arial" w:cs="Arial"/>
          <w:color w:val="0D0D0D"/>
          <w:spacing w:val="-5"/>
          <w:sz w:val="24"/>
          <w:szCs w:val="24"/>
        </w:rPr>
        <w:t xml:space="preserve">on the Independent Labour Organisation measure.  A combination of job vacancies hitting an all-time high in July, together with negligible growth in total employment numbers, indicates that employers are now having major difficulties filling job vacancies with suitable staff.  It was therefore </w:t>
      </w:r>
      <w:r w:rsidRPr="00740666">
        <w:rPr>
          <w:rFonts w:ascii="Arial" w:hAnsi="Arial" w:cs="Arial"/>
          <w:color w:val="0D0D0D"/>
          <w:spacing w:val="-5"/>
          <w:sz w:val="24"/>
          <w:szCs w:val="24"/>
        </w:rPr>
        <w:lastRenderedPageBreak/>
        <w:t>unsurprising that wage inflation picked up to 3.</w:t>
      </w:r>
      <w:r w:rsidR="00FF02D6">
        <w:rPr>
          <w:rFonts w:ascii="Arial" w:hAnsi="Arial" w:cs="Arial"/>
          <w:color w:val="0D0D0D"/>
          <w:spacing w:val="-5"/>
          <w:sz w:val="24"/>
          <w:szCs w:val="24"/>
        </w:rPr>
        <w:t>3</w:t>
      </w:r>
      <w:r w:rsidRPr="00740666">
        <w:rPr>
          <w:rFonts w:ascii="Arial" w:hAnsi="Arial" w:cs="Arial"/>
          <w:color w:val="0D0D0D"/>
          <w:spacing w:val="-5"/>
          <w:sz w:val="24"/>
          <w:szCs w:val="24"/>
        </w:rPr>
        <w:t xml:space="preserve">%, (3 month average regular pay, excluding bonuses).   This meant that in real terms, (i.e. wage rates less CPI inflation), earnings are currently growing by about </w:t>
      </w:r>
      <w:r w:rsidR="00FF02D6">
        <w:rPr>
          <w:rFonts w:ascii="Arial" w:hAnsi="Arial" w:cs="Arial"/>
          <w:color w:val="0D0D0D"/>
          <w:spacing w:val="-5"/>
          <w:sz w:val="24"/>
          <w:szCs w:val="24"/>
        </w:rPr>
        <w:t>1</w:t>
      </w:r>
      <w:r w:rsidRPr="00740666">
        <w:rPr>
          <w:rFonts w:ascii="Arial" w:hAnsi="Arial" w:cs="Arial"/>
          <w:color w:val="0D0D0D"/>
          <w:spacing w:val="-5"/>
          <w:sz w:val="24"/>
          <w:szCs w:val="24"/>
        </w:rPr>
        <w:t>.</w:t>
      </w:r>
      <w:r w:rsidR="00FF02D6">
        <w:rPr>
          <w:rFonts w:ascii="Arial" w:hAnsi="Arial" w:cs="Arial"/>
          <w:color w:val="0D0D0D"/>
          <w:spacing w:val="-5"/>
          <w:sz w:val="24"/>
          <w:szCs w:val="24"/>
        </w:rPr>
        <w:t>0</w:t>
      </w:r>
      <w:r w:rsidRPr="00740666">
        <w:rPr>
          <w:rFonts w:ascii="Arial" w:hAnsi="Arial" w:cs="Arial"/>
          <w:color w:val="0D0D0D"/>
          <w:spacing w:val="-5"/>
          <w:sz w:val="24"/>
          <w:szCs w:val="24"/>
        </w:rPr>
        <w:t>%, the highest level since 2009. This increase in household spending power is likely to feed through into providing some support to the overall rate of economic growth in the coming months. This tends to confirm that the MPC was right to start on a cautious increase in Bank Rate in August as it views wage inflation in excess of 3% as increasing inflationary pressures within the UK economy.</w:t>
      </w:r>
    </w:p>
    <w:p w:rsidR="00740666" w:rsidRPr="00740666" w:rsidRDefault="00740666" w:rsidP="00740666">
      <w:pPr>
        <w:pStyle w:val="ListParagraph"/>
        <w:rPr>
          <w:rFonts w:ascii="Arial" w:hAnsi="Arial" w:cs="Arial"/>
          <w:color w:val="0D0D0D"/>
          <w:spacing w:val="-5"/>
          <w:sz w:val="24"/>
          <w:szCs w:val="24"/>
        </w:rPr>
      </w:pPr>
    </w:p>
    <w:p w:rsidR="00740666" w:rsidRDefault="00740666" w:rsidP="00CE3C0B">
      <w:pPr>
        <w:pStyle w:val="ListParagraph"/>
        <w:numPr>
          <w:ilvl w:val="0"/>
          <w:numId w:val="15"/>
        </w:numPr>
        <w:rPr>
          <w:rFonts w:ascii="Arial" w:hAnsi="Arial" w:cs="Arial"/>
          <w:color w:val="0D0D0D"/>
          <w:spacing w:val="-5"/>
          <w:sz w:val="24"/>
          <w:szCs w:val="24"/>
        </w:rPr>
      </w:pPr>
      <w:r w:rsidRPr="00740666">
        <w:rPr>
          <w:rFonts w:ascii="Arial" w:hAnsi="Arial" w:cs="Arial"/>
          <w:color w:val="0D0D0D"/>
          <w:spacing w:val="-5"/>
          <w:sz w:val="24"/>
          <w:szCs w:val="24"/>
        </w:rPr>
        <w:t>In the political arena, there is a risk that the current Conservative minority government may be unable to muster a majority in the Commons over Brexit.  However, our central position is that Prime Minister May’s government will endure, despite various setbacks, along the route to reaching an orderly Brexit in March 2019.  If, however, the UK faces a general election in the next 12 months, this could result in a potential loosening of monetary and fiscal policy and therefore medium to longer dated gilt yields could rise on the expectation of a weak pound and concerns around inflation picking up.</w:t>
      </w:r>
    </w:p>
    <w:p w:rsidR="00740666" w:rsidRPr="00740666" w:rsidRDefault="00740666" w:rsidP="00740666">
      <w:pPr>
        <w:pStyle w:val="ListParagraph"/>
        <w:rPr>
          <w:rFonts w:ascii="Arial" w:hAnsi="Arial" w:cs="Arial"/>
          <w:color w:val="0D0D0D"/>
          <w:spacing w:val="-5"/>
          <w:sz w:val="24"/>
          <w:szCs w:val="24"/>
        </w:rPr>
      </w:pPr>
    </w:p>
    <w:p w:rsidR="00740666" w:rsidRDefault="00740666" w:rsidP="00FF02D6">
      <w:pPr>
        <w:pStyle w:val="ListParagraph"/>
        <w:numPr>
          <w:ilvl w:val="0"/>
          <w:numId w:val="15"/>
        </w:numPr>
        <w:rPr>
          <w:rFonts w:ascii="Arial" w:hAnsi="Arial" w:cs="Arial"/>
          <w:color w:val="0D0D0D"/>
          <w:spacing w:val="-5"/>
          <w:sz w:val="24"/>
          <w:szCs w:val="24"/>
        </w:rPr>
      </w:pPr>
      <w:r w:rsidRPr="0011525A">
        <w:rPr>
          <w:rFonts w:ascii="Arial" w:hAnsi="Arial" w:cs="Arial"/>
          <w:b/>
          <w:color w:val="0D0D0D"/>
          <w:spacing w:val="-5"/>
          <w:sz w:val="24"/>
          <w:szCs w:val="24"/>
        </w:rPr>
        <w:t>USA</w:t>
      </w:r>
      <w:r w:rsidRPr="00740666">
        <w:rPr>
          <w:rFonts w:ascii="Arial" w:hAnsi="Arial" w:cs="Arial"/>
          <w:color w:val="0D0D0D"/>
          <w:spacing w:val="-5"/>
          <w:sz w:val="24"/>
          <w:szCs w:val="24"/>
        </w:rPr>
        <w:t xml:space="preserve">.  </w:t>
      </w:r>
      <w:r w:rsidR="00FF02D6" w:rsidRPr="00FF02D6">
        <w:rPr>
          <w:rFonts w:ascii="Arial" w:hAnsi="Arial" w:cs="Arial"/>
          <w:color w:val="0D0D0D"/>
          <w:spacing w:val="-5"/>
          <w:sz w:val="24"/>
          <w:szCs w:val="24"/>
        </w:rPr>
        <w:t xml:space="preserve">President Trump’s massive easing of fiscal policy is fuelling a, (temporary), boost in consumption which has generated an upturn in the rate of strong growth which rose from 2.2%, (annualised rate), in quarter 1 to 4.2% in quarter 2 and 3.5%, (3.0% y/y), in quarter 3, but also an upturn in inflationary pressures.  The strong growth in employment numbers and the reduction in the unemployment rate to 3.9%, near to a recent 49 year low, has fed through to an upturn in wage inflation which hit 3.2% in November, </w:t>
      </w:r>
      <w:r w:rsidR="00FF02D6">
        <w:rPr>
          <w:rFonts w:ascii="Arial" w:hAnsi="Arial" w:cs="Arial"/>
          <w:color w:val="0D0D0D"/>
          <w:spacing w:val="-5"/>
          <w:sz w:val="24"/>
          <w:szCs w:val="24"/>
        </w:rPr>
        <w:t>h</w:t>
      </w:r>
      <w:r w:rsidR="00FF02D6" w:rsidRPr="00FF02D6">
        <w:rPr>
          <w:rFonts w:ascii="Arial" w:hAnsi="Arial" w:cs="Arial"/>
          <w:color w:val="0D0D0D"/>
          <w:spacing w:val="-5"/>
          <w:sz w:val="24"/>
          <w:szCs w:val="24"/>
        </w:rPr>
        <w:t>owever, CPI inflation overall fell to 2.2% in November and looks to be on a falling trend to drop below the Fed’s target of 2% during 2019.  The Fed has continued on its series of increa</w:t>
      </w:r>
      <w:r w:rsidR="00FF02D6">
        <w:rPr>
          <w:rFonts w:ascii="Arial" w:hAnsi="Arial" w:cs="Arial"/>
          <w:color w:val="0D0D0D"/>
          <w:spacing w:val="-5"/>
          <w:sz w:val="24"/>
          <w:szCs w:val="24"/>
        </w:rPr>
        <w:t>s</w:t>
      </w:r>
      <w:r w:rsidR="00FF02D6" w:rsidRPr="00FF02D6">
        <w:rPr>
          <w:rFonts w:ascii="Arial" w:hAnsi="Arial" w:cs="Arial"/>
          <w:color w:val="0D0D0D"/>
          <w:spacing w:val="-5"/>
          <w:sz w:val="24"/>
          <w:szCs w:val="24"/>
        </w:rPr>
        <w:t xml:space="preserve">es in interest rates with another 0.25% increase in December to between 2.25% and 2.50%, this being the fifth increase in 2018 and the ninth in this cycle.  However, they did also reduce their forecast for further increases from three to two. This latest increase compounded investor fears that the Fed is over doing the rate and level of increases in rates and that it is going to cause a US recession as a result.  There is also much evidence in previous monetary policy cycles, of the Fed’s series of increases doing exactly that.  Consequently, we have seen stock markets around the world plunging under the weight of fears around the Fed’s actions, the trade war between the US and China, an expectation that world growth will slow, Brexit etc. </w:t>
      </w:r>
    </w:p>
    <w:p w:rsidR="00740666" w:rsidRDefault="00740666" w:rsidP="00740666">
      <w:pPr>
        <w:pStyle w:val="ListParagraph"/>
        <w:rPr>
          <w:rFonts w:ascii="Arial" w:hAnsi="Arial" w:cs="Arial"/>
          <w:color w:val="0D0D0D"/>
          <w:spacing w:val="-5"/>
          <w:sz w:val="24"/>
          <w:szCs w:val="24"/>
        </w:rPr>
      </w:pPr>
    </w:p>
    <w:p w:rsidR="00740666" w:rsidRDefault="00740666" w:rsidP="00CE3C0B">
      <w:pPr>
        <w:pStyle w:val="ListParagraph"/>
        <w:numPr>
          <w:ilvl w:val="0"/>
          <w:numId w:val="15"/>
        </w:numPr>
        <w:rPr>
          <w:rFonts w:ascii="Arial" w:hAnsi="Arial" w:cs="Arial"/>
          <w:color w:val="0D0D0D"/>
          <w:spacing w:val="-5"/>
          <w:sz w:val="24"/>
          <w:szCs w:val="24"/>
        </w:rPr>
      </w:pPr>
      <w:r w:rsidRPr="00740666">
        <w:rPr>
          <w:rFonts w:ascii="Arial" w:hAnsi="Arial" w:cs="Arial"/>
          <w:color w:val="0D0D0D"/>
          <w:spacing w:val="-5"/>
          <w:sz w:val="24"/>
          <w:szCs w:val="24"/>
        </w:rPr>
        <w:t>The tariff war between the US and China has been generating a lot of heat during 2018, but it is not expected that the current level of actual action would have much in the way of a significant effect on US or world growth. However, there is a risk of escalation</w:t>
      </w:r>
      <w:r w:rsidR="00FF02D6">
        <w:rPr>
          <w:rFonts w:ascii="Arial" w:hAnsi="Arial" w:cs="Arial"/>
          <w:color w:val="0D0D0D"/>
          <w:spacing w:val="-5"/>
          <w:sz w:val="24"/>
          <w:szCs w:val="24"/>
        </w:rPr>
        <w:t xml:space="preserve"> if an agreement is not reached soon between the US and China</w:t>
      </w:r>
      <w:r w:rsidRPr="00740666">
        <w:rPr>
          <w:rFonts w:ascii="Arial" w:hAnsi="Arial" w:cs="Arial"/>
          <w:color w:val="0D0D0D"/>
          <w:spacing w:val="-5"/>
          <w:sz w:val="24"/>
          <w:szCs w:val="24"/>
        </w:rPr>
        <w:t>. The results of the mid-term elections are not expected to have a material effect on the economy</w:t>
      </w:r>
      <w:r>
        <w:rPr>
          <w:rFonts w:ascii="Arial" w:hAnsi="Arial" w:cs="Arial"/>
          <w:color w:val="0D0D0D"/>
          <w:spacing w:val="-5"/>
          <w:sz w:val="24"/>
          <w:szCs w:val="24"/>
        </w:rPr>
        <w:t>.</w:t>
      </w:r>
    </w:p>
    <w:p w:rsidR="00740666" w:rsidRPr="00740666" w:rsidRDefault="00740666" w:rsidP="00740666">
      <w:pPr>
        <w:pStyle w:val="ListParagraph"/>
        <w:rPr>
          <w:rFonts w:ascii="Arial" w:hAnsi="Arial" w:cs="Arial"/>
          <w:color w:val="0D0D0D"/>
          <w:spacing w:val="-5"/>
          <w:sz w:val="24"/>
          <w:szCs w:val="24"/>
        </w:rPr>
      </w:pPr>
    </w:p>
    <w:p w:rsidR="00740666" w:rsidRDefault="00740666" w:rsidP="003C219F">
      <w:pPr>
        <w:pStyle w:val="ListParagraph"/>
        <w:numPr>
          <w:ilvl w:val="0"/>
          <w:numId w:val="15"/>
        </w:numPr>
        <w:rPr>
          <w:rFonts w:ascii="Arial" w:hAnsi="Arial" w:cs="Arial"/>
          <w:color w:val="0D0D0D"/>
          <w:spacing w:val="-5"/>
          <w:sz w:val="24"/>
          <w:szCs w:val="24"/>
        </w:rPr>
      </w:pPr>
      <w:r w:rsidRPr="0011525A">
        <w:rPr>
          <w:rFonts w:ascii="Arial" w:hAnsi="Arial" w:cs="Arial"/>
          <w:b/>
          <w:color w:val="0D0D0D"/>
          <w:spacing w:val="-5"/>
          <w:sz w:val="24"/>
          <w:szCs w:val="24"/>
        </w:rPr>
        <w:t>Eurozone</w:t>
      </w:r>
      <w:r w:rsidRPr="00740666">
        <w:rPr>
          <w:rFonts w:ascii="Arial" w:hAnsi="Arial" w:cs="Arial"/>
          <w:color w:val="0D0D0D"/>
          <w:spacing w:val="-5"/>
          <w:sz w:val="24"/>
          <w:szCs w:val="24"/>
        </w:rPr>
        <w:t xml:space="preserve">.  </w:t>
      </w:r>
      <w:r w:rsidR="003C219F" w:rsidRPr="003C219F">
        <w:rPr>
          <w:rFonts w:ascii="Arial" w:hAnsi="Arial" w:cs="Arial"/>
          <w:color w:val="0D0D0D"/>
          <w:spacing w:val="-5"/>
          <w:sz w:val="24"/>
          <w:szCs w:val="24"/>
        </w:rPr>
        <w:t xml:space="preserve">Growth was 0.4% in quarters 1 and 2 but fell back to 0.2% in quarter 3, though this was probably just a temporary dip.  In particular, data from Germany has been mixed and it could be negatively impacted by US tariffs on a significant part of manufacturing exports e.g. cars.   For that reason, although growth is still expected to be in the region of nearly 2% for 2018, the horizon is less clear than it seemed just a short while ago. Having halved its quantitative easing purchases of debt in October </w:t>
      </w:r>
      <w:r w:rsidR="003C219F" w:rsidRPr="003C219F">
        <w:rPr>
          <w:rFonts w:ascii="Arial" w:hAnsi="Arial" w:cs="Arial"/>
          <w:color w:val="0D0D0D"/>
          <w:spacing w:val="-5"/>
          <w:sz w:val="24"/>
          <w:szCs w:val="24"/>
        </w:rPr>
        <w:lastRenderedPageBreak/>
        <w:t>2018 to €15bn per month, the European Central Bank ended all further purchases in December 2018. The ECB is forecasting inflation to be a little below its 2% top limit through the next three years so it may find it difficult to warrant a start on raising rates by the end of 2019 if the growth rate of the EU economy is on a weakening trend.</w:t>
      </w:r>
    </w:p>
    <w:p w:rsidR="00740666" w:rsidRPr="00740666" w:rsidRDefault="00740666" w:rsidP="00740666">
      <w:pPr>
        <w:pStyle w:val="ListParagraph"/>
        <w:rPr>
          <w:rFonts w:ascii="Arial" w:hAnsi="Arial" w:cs="Arial"/>
          <w:color w:val="0D0D0D"/>
          <w:spacing w:val="-5"/>
          <w:sz w:val="24"/>
          <w:szCs w:val="24"/>
        </w:rPr>
      </w:pPr>
    </w:p>
    <w:p w:rsidR="00740666" w:rsidRDefault="00740666" w:rsidP="00CE3C0B">
      <w:pPr>
        <w:pStyle w:val="ListParagraph"/>
        <w:numPr>
          <w:ilvl w:val="0"/>
          <w:numId w:val="15"/>
        </w:numPr>
        <w:rPr>
          <w:rFonts w:ascii="Arial" w:hAnsi="Arial" w:cs="Arial"/>
          <w:color w:val="0D0D0D"/>
          <w:spacing w:val="-5"/>
          <w:sz w:val="24"/>
          <w:szCs w:val="24"/>
        </w:rPr>
      </w:pPr>
      <w:r w:rsidRPr="0011525A">
        <w:rPr>
          <w:rFonts w:ascii="Arial" w:hAnsi="Arial" w:cs="Arial"/>
          <w:b/>
          <w:color w:val="0D0D0D"/>
          <w:spacing w:val="-5"/>
          <w:sz w:val="24"/>
          <w:szCs w:val="24"/>
        </w:rPr>
        <w:t>China</w:t>
      </w:r>
      <w:r w:rsidRPr="00740666">
        <w:rPr>
          <w:rFonts w:ascii="Arial" w:hAnsi="Arial" w:cs="Arial"/>
          <w:color w:val="0D0D0D"/>
          <w:spacing w:val="-5"/>
          <w:sz w:val="24"/>
          <w:szCs w:val="24"/>
        </w:rPr>
        <w:t>. Economic growth has been weakening over successive years, despite repeated rounds of central bank stimulus; medium term risks are increasing. Major progress still needs to be made to eliminate excess industrial capacity and the stock of unsold property, and to address the level of non-performing loans in the banking and credit systems. Progress has been made in reducing the rate of credit creation, particularly from the shadow banking sector, which is feeding through into lower economic growth. There are concerns that official economic statistics are inflating the published rate of growth.</w:t>
      </w:r>
    </w:p>
    <w:p w:rsidR="00740666" w:rsidRPr="00740666" w:rsidRDefault="00740666" w:rsidP="00740666">
      <w:pPr>
        <w:pStyle w:val="ListParagraph"/>
        <w:rPr>
          <w:rFonts w:ascii="Arial" w:hAnsi="Arial" w:cs="Arial"/>
          <w:color w:val="0D0D0D"/>
          <w:spacing w:val="-5"/>
          <w:sz w:val="24"/>
          <w:szCs w:val="24"/>
        </w:rPr>
      </w:pPr>
    </w:p>
    <w:p w:rsidR="00740666" w:rsidRDefault="00740666" w:rsidP="00CE3C0B">
      <w:pPr>
        <w:pStyle w:val="ListParagraph"/>
        <w:numPr>
          <w:ilvl w:val="0"/>
          <w:numId w:val="15"/>
        </w:numPr>
        <w:rPr>
          <w:rFonts w:ascii="Arial" w:hAnsi="Arial" w:cs="Arial"/>
          <w:color w:val="0D0D0D"/>
          <w:spacing w:val="-5"/>
          <w:sz w:val="24"/>
          <w:szCs w:val="24"/>
        </w:rPr>
      </w:pPr>
      <w:r w:rsidRPr="0011525A">
        <w:rPr>
          <w:rFonts w:ascii="Arial" w:hAnsi="Arial" w:cs="Arial"/>
          <w:b/>
          <w:color w:val="0D0D0D"/>
          <w:spacing w:val="-5"/>
          <w:sz w:val="24"/>
          <w:szCs w:val="24"/>
        </w:rPr>
        <w:t>Japan</w:t>
      </w:r>
      <w:r w:rsidRPr="00740666">
        <w:rPr>
          <w:rFonts w:ascii="Arial" w:hAnsi="Arial" w:cs="Arial"/>
          <w:color w:val="0D0D0D"/>
          <w:spacing w:val="-5"/>
          <w:sz w:val="24"/>
          <w:szCs w:val="24"/>
        </w:rPr>
        <w:t xml:space="preserve"> - has been struggling to stimulate consistent significant GDP growth and to get inflation up to its target of 2%, despite huge monetary and fiscal stimulus. It is also making little progress on fundamental reform of the economy. It is likely that loose monetary policy will endure for some years yet to try to stimulate growth and modest inflation</w:t>
      </w:r>
      <w:r>
        <w:rPr>
          <w:rFonts w:ascii="Arial" w:hAnsi="Arial" w:cs="Arial"/>
          <w:color w:val="0D0D0D"/>
          <w:spacing w:val="-5"/>
          <w:sz w:val="24"/>
          <w:szCs w:val="24"/>
        </w:rPr>
        <w:t>.</w:t>
      </w:r>
    </w:p>
    <w:p w:rsidR="00740666" w:rsidRPr="00740666" w:rsidRDefault="00740666" w:rsidP="00740666">
      <w:pPr>
        <w:pStyle w:val="ListParagraph"/>
        <w:rPr>
          <w:rFonts w:ascii="Arial" w:hAnsi="Arial" w:cs="Arial"/>
          <w:color w:val="0D0D0D"/>
          <w:spacing w:val="-5"/>
          <w:sz w:val="24"/>
          <w:szCs w:val="24"/>
        </w:rPr>
      </w:pPr>
    </w:p>
    <w:p w:rsidR="00740666" w:rsidRDefault="00740666" w:rsidP="00CE3C0B">
      <w:pPr>
        <w:pStyle w:val="ListParagraph"/>
        <w:numPr>
          <w:ilvl w:val="0"/>
          <w:numId w:val="15"/>
        </w:numPr>
        <w:rPr>
          <w:rFonts w:ascii="Arial" w:hAnsi="Arial" w:cs="Arial"/>
          <w:color w:val="0D0D0D"/>
          <w:spacing w:val="-5"/>
          <w:sz w:val="24"/>
          <w:szCs w:val="24"/>
        </w:rPr>
      </w:pPr>
      <w:r w:rsidRPr="0011525A">
        <w:rPr>
          <w:rFonts w:ascii="Arial" w:hAnsi="Arial" w:cs="Arial"/>
          <w:b/>
          <w:color w:val="0D0D0D"/>
          <w:spacing w:val="-5"/>
          <w:sz w:val="24"/>
          <w:szCs w:val="24"/>
        </w:rPr>
        <w:t>Emerging countries.</w:t>
      </w:r>
      <w:r w:rsidRPr="00740666">
        <w:rPr>
          <w:rFonts w:ascii="Arial" w:hAnsi="Arial" w:cs="Arial"/>
          <w:color w:val="0D0D0D"/>
          <w:spacing w:val="-5"/>
          <w:sz w:val="24"/>
          <w:szCs w:val="24"/>
        </w:rPr>
        <w:t xml:space="preserve"> Argentina and Turkey are currently experiencing major headwinds and are facing challenges in external financing requirements well in excess of their reserves of foreign exchange. However, these countries are small in terms of the overall world economy, (around 1% each), so the fallout from the expected recessions in these countries will be minimal.</w:t>
      </w:r>
    </w:p>
    <w:p w:rsidR="00740666" w:rsidRPr="00740666" w:rsidRDefault="00740666" w:rsidP="00740666">
      <w:pPr>
        <w:pStyle w:val="ListParagraph"/>
        <w:rPr>
          <w:rFonts w:ascii="Arial" w:hAnsi="Arial" w:cs="Arial"/>
          <w:color w:val="0D0D0D"/>
          <w:spacing w:val="-5"/>
          <w:sz w:val="24"/>
          <w:szCs w:val="24"/>
        </w:rPr>
      </w:pPr>
    </w:p>
    <w:p w:rsidR="00740666" w:rsidRPr="00740666" w:rsidRDefault="00740666" w:rsidP="00740666">
      <w:pPr>
        <w:pStyle w:val="ListParagraph"/>
        <w:rPr>
          <w:rFonts w:ascii="Arial" w:hAnsi="Arial" w:cs="Arial"/>
          <w:b/>
          <w:color w:val="0D0D0D"/>
          <w:spacing w:val="-5"/>
          <w:sz w:val="24"/>
          <w:szCs w:val="24"/>
        </w:rPr>
      </w:pPr>
      <w:r w:rsidRPr="00740666">
        <w:rPr>
          <w:rFonts w:ascii="Arial" w:hAnsi="Arial" w:cs="Arial"/>
          <w:b/>
          <w:color w:val="0D0D0D"/>
          <w:spacing w:val="-5"/>
          <w:sz w:val="24"/>
          <w:szCs w:val="24"/>
        </w:rPr>
        <w:t>INTEREST RATE FORECASTS</w:t>
      </w:r>
    </w:p>
    <w:p w:rsidR="00740666" w:rsidRPr="00740666" w:rsidRDefault="00740666" w:rsidP="00740666">
      <w:pPr>
        <w:pStyle w:val="ListParagraph"/>
        <w:rPr>
          <w:rFonts w:ascii="Arial" w:hAnsi="Arial" w:cs="Arial"/>
          <w:color w:val="0D0D0D"/>
          <w:spacing w:val="-5"/>
          <w:sz w:val="24"/>
          <w:szCs w:val="24"/>
        </w:rPr>
      </w:pPr>
    </w:p>
    <w:p w:rsidR="00740666" w:rsidRDefault="00740666" w:rsidP="00CE3C0B">
      <w:pPr>
        <w:pStyle w:val="ListParagraph"/>
        <w:numPr>
          <w:ilvl w:val="0"/>
          <w:numId w:val="15"/>
        </w:numPr>
        <w:rPr>
          <w:rFonts w:ascii="Arial" w:hAnsi="Arial" w:cs="Arial"/>
          <w:color w:val="0D0D0D"/>
          <w:spacing w:val="-5"/>
          <w:sz w:val="24"/>
          <w:szCs w:val="24"/>
        </w:rPr>
      </w:pPr>
      <w:r w:rsidRPr="00740666">
        <w:rPr>
          <w:rFonts w:ascii="Arial" w:hAnsi="Arial" w:cs="Arial"/>
          <w:color w:val="0D0D0D"/>
          <w:spacing w:val="-5"/>
          <w:sz w:val="24"/>
          <w:szCs w:val="24"/>
        </w:rPr>
        <w:t>The interest rate forecasts provided by Link Asset Services in paragraph 3.2 are predicated on an assumption of an agreement being reached on Brexit between the UK and the EU. In the event of an orderly non-agreement exit, it is likely that the Bank of England would take action to cut Bank Rate from 0.75% in order to help economic growth deal with the adverse effects of this situation. This is also likely to cause short to medium term gilt yields to fall. If there was a disorderly Brexit, then any cut in Bank Rate would be likely to last for a longer period and also depress short and medium gilt yields correspondingly. It is also possible that the government could act to protect economic growth by implementing fiscal stimulus.</w:t>
      </w:r>
    </w:p>
    <w:p w:rsidR="006524BD" w:rsidRDefault="006524BD" w:rsidP="006524BD">
      <w:pPr>
        <w:pStyle w:val="ListParagraph"/>
        <w:rPr>
          <w:rFonts w:ascii="Arial" w:hAnsi="Arial" w:cs="Arial"/>
          <w:color w:val="0D0D0D"/>
          <w:spacing w:val="-5"/>
          <w:sz w:val="24"/>
          <w:szCs w:val="24"/>
        </w:rPr>
      </w:pPr>
    </w:p>
    <w:p w:rsidR="00740666" w:rsidRDefault="00740666" w:rsidP="00CE3C0B">
      <w:pPr>
        <w:pStyle w:val="ListParagraph"/>
        <w:numPr>
          <w:ilvl w:val="0"/>
          <w:numId w:val="15"/>
        </w:numPr>
        <w:rPr>
          <w:rFonts w:ascii="Arial" w:hAnsi="Arial" w:cs="Arial"/>
          <w:color w:val="0D0D0D"/>
          <w:spacing w:val="-5"/>
          <w:sz w:val="24"/>
          <w:szCs w:val="24"/>
        </w:rPr>
      </w:pPr>
      <w:r w:rsidRPr="00740666">
        <w:rPr>
          <w:rFonts w:ascii="Arial" w:hAnsi="Arial" w:cs="Arial"/>
          <w:color w:val="0D0D0D"/>
          <w:spacing w:val="-5"/>
          <w:sz w:val="24"/>
          <w:szCs w:val="24"/>
        </w:rPr>
        <w:t>The balance of risks to the UK</w:t>
      </w:r>
    </w:p>
    <w:p w:rsidR="004955D5" w:rsidRPr="004955D5" w:rsidRDefault="004955D5" w:rsidP="00CE3C0B">
      <w:pPr>
        <w:pStyle w:val="ListParagraph"/>
        <w:numPr>
          <w:ilvl w:val="2"/>
          <w:numId w:val="15"/>
        </w:numPr>
        <w:rPr>
          <w:rFonts w:ascii="Arial" w:hAnsi="Arial" w:cs="Arial"/>
          <w:color w:val="0D0D0D"/>
          <w:spacing w:val="-5"/>
          <w:sz w:val="24"/>
          <w:szCs w:val="24"/>
        </w:rPr>
      </w:pPr>
      <w:r w:rsidRPr="004955D5">
        <w:rPr>
          <w:rFonts w:ascii="Arial" w:hAnsi="Arial" w:cs="Arial"/>
          <w:color w:val="0D0D0D"/>
          <w:spacing w:val="-5"/>
          <w:sz w:val="24"/>
          <w:szCs w:val="24"/>
        </w:rPr>
        <w:t>The overall balance of risks to economic growth in the UK is probably neutral.</w:t>
      </w:r>
    </w:p>
    <w:p w:rsidR="004955D5" w:rsidRDefault="004955D5" w:rsidP="00CE3C0B">
      <w:pPr>
        <w:pStyle w:val="ListParagraph"/>
        <w:numPr>
          <w:ilvl w:val="2"/>
          <w:numId w:val="15"/>
        </w:numPr>
        <w:rPr>
          <w:rFonts w:ascii="Arial" w:hAnsi="Arial" w:cs="Arial"/>
          <w:color w:val="0D0D0D"/>
          <w:spacing w:val="-5"/>
          <w:sz w:val="24"/>
          <w:szCs w:val="24"/>
        </w:rPr>
      </w:pPr>
      <w:r w:rsidRPr="004955D5">
        <w:rPr>
          <w:rFonts w:ascii="Arial" w:hAnsi="Arial" w:cs="Arial"/>
          <w:color w:val="0D0D0D"/>
          <w:spacing w:val="-5"/>
          <w:sz w:val="24"/>
          <w:szCs w:val="24"/>
        </w:rPr>
        <w:t>The balance of risks to increases in Bank Rate and shorter term PWLB rates, are probably also even and are broadly dependent on how strong GDP growth turns out, how slowly inflation pressures subside, and how quickly the Brexit negotiations move forward positively</w:t>
      </w:r>
      <w:r>
        <w:rPr>
          <w:rFonts w:ascii="Arial" w:hAnsi="Arial" w:cs="Arial"/>
          <w:color w:val="0D0D0D"/>
          <w:spacing w:val="-5"/>
          <w:sz w:val="24"/>
          <w:szCs w:val="24"/>
        </w:rPr>
        <w:t>.</w:t>
      </w:r>
    </w:p>
    <w:p w:rsidR="004955D5" w:rsidRDefault="004955D5" w:rsidP="004955D5">
      <w:pPr>
        <w:pStyle w:val="ListParagraph"/>
        <w:rPr>
          <w:rFonts w:ascii="Arial" w:hAnsi="Arial" w:cs="Arial"/>
          <w:color w:val="0D0D0D"/>
          <w:spacing w:val="-5"/>
          <w:sz w:val="24"/>
          <w:szCs w:val="24"/>
        </w:rPr>
      </w:pPr>
    </w:p>
    <w:p w:rsidR="006524BD" w:rsidRDefault="006524BD" w:rsidP="00CE3C0B">
      <w:pPr>
        <w:pStyle w:val="ListParagraph"/>
        <w:numPr>
          <w:ilvl w:val="0"/>
          <w:numId w:val="15"/>
        </w:numPr>
        <w:rPr>
          <w:rFonts w:ascii="Arial" w:hAnsi="Arial" w:cs="Arial"/>
          <w:color w:val="0D0D0D"/>
          <w:spacing w:val="-5"/>
          <w:sz w:val="24"/>
          <w:szCs w:val="24"/>
        </w:rPr>
      </w:pPr>
      <w:r w:rsidRPr="006524BD">
        <w:rPr>
          <w:rFonts w:ascii="Arial" w:hAnsi="Arial" w:cs="Arial"/>
          <w:color w:val="0D0D0D"/>
          <w:spacing w:val="-5"/>
          <w:sz w:val="24"/>
          <w:szCs w:val="24"/>
        </w:rPr>
        <w:t xml:space="preserve">One risk that is both an upside and downside risk, is that all central banks are now working in very different economic conditions than before the 2008 financial crash as  there has been a major increase in consumer and other debt due to the exceptionally </w:t>
      </w:r>
      <w:r w:rsidRPr="006524BD">
        <w:rPr>
          <w:rFonts w:ascii="Arial" w:hAnsi="Arial" w:cs="Arial"/>
          <w:color w:val="0D0D0D"/>
          <w:spacing w:val="-5"/>
          <w:sz w:val="24"/>
          <w:szCs w:val="24"/>
        </w:rPr>
        <w:lastRenderedPageBreak/>
        <w:t>low levels of borrowing rates that have prevailed for ten years since 2008. This means that the neutral rate of interest in an economy, (i.e. the rate that is neither expansionary nor deflationary), is difficult to determine definitively in this new environment, although central banks have made statements that they expect it to be much lower than before 2008. Central banks could therefore either over or under do increases in central interest rates</w:t>
      </w:r>
      <w:r>
        <w:rPr>
          <w:rFonts w:ascii="Arial" w:hAnsi="Arial" w:cs="Arial"/>
          <w:color w:val="0D0D0D"/>
          <w:spacing w:val="-5"/>
          <w:sz w:val="24"/>
          <w:szCs w:val="24"/>
        </w:rPr>
        <w:t>.</w:t>
      </w:r>
    </w:p>
    <w:p w:rsidR="0011525A" w:rsidRDefault="0011525A" w:rsidP="0011525A">
      <w:pPr>
        <w:pStyle w:val="ListParagraph"/>
        <w:rPr>
          <w:rFonts w:ascii="Arial" w:hAnsi="Arial" w:cs="Arial"/>
          <w:color w:val="0D0D0D"/>
          <w:spacing w:val="-5"/>
          <w:sz w:val="24"/>
          <w:szCs w:val="24"/>
        </w:rPr>
      </w:pPr>
    </w:p>
    <w:p w:rsidR="0011525A" w:rsidRDefault="0011525A" w:rsidP="00CE3C0B">
      <w:pPr>
        <w:pStyle w:val="ListParagraph"/>
        <w:numPr>
          <w:ilvl w:val="0"/>
          <w:numId w:val="15"/>
        </w:numPr>
        <w:rPr>
          <w:rFonts w:ascii="Arial" w:hAnsi="Arial" w:cs="Arial"/>
          <w:color w:val="0D0D0D"/>
          <w:spacing w:val="-5"/>
          <w:sz w:val="24"/>
          <w:szCs w:val="24"/>
        </w:rPr>
      </w:pPr>
      <w:r w:rsidRPr="004842D1">
        <w:rPr>
          <w:rFonts w:ascii="Arial" w:hAnsi="Arial" w:cs="Arial"/>
          <w:b/>
          <w:color w:val="0D0D0D"/>
          <w:spacing w:val="-5"/>
          <w:sz w:val="24"/>
          <w:szCs w:val="24"/>
        </w:rPr>
        <w:t>Downside risks to current forecasts for UK gilt yields and PWLB rates currently include</w:t>
      </w:r>
      <w:r>
        <w:rPr>
          <w:rFonts w:ascii="Arial" w:hAnsi="Arial" w:cs="Arial"/>
          <w:b/>
          <w:color w:val="0D0D0D"/>
          <w:spacing w:val="-5"/>
          <w:sz w:val="24"/>
          <w:szCs w:val="24"/>
        </w:rPr>
        <w:t>:</w:t>
      </w:r>
    </w:p>
    <w:p w:rsidR="004842D1" w:rsidRPr="004842D1" w:rsidRDefault="004842D1" w:rsidP="00CE3C0B">
      <w:pPr>
        <w:pStyle w:val="ListParagraph"/>
        <w:numPr>
          <w:ilvl w:val="0"/>
          <w:numId w:val="16"/>
        </w:numPr>
        <w:ind w:left="1800"/>
        <w:rPr>
          <w:rFonts w:ascii="Arial" w:hAnsi="Arial" w:cs="Arial"/>
          <w:color w:val="0D0D0D"/>
          <w:spacing w:val="-5"/>
          <w:sz w:val="24"/>
          <w:szCs w:val="24"/>
          <w:lang w:val="en-AU"/>
        </w:rPr>
      </w:pPr>
      <w:r w:rsidRPr="004842D1">
        <w:rPr>
          <w:rFonts w:ascii="Arial" w:hAnsi="Arial" w:cs="Arial"/>
          <w:color w:val="0D0D0D"/>
          <w:spacing w:val="-5"/>
          <w:sz w:val="24"/>
          <w:szCs w:val="24"/>
          <w:lang w:val="en-AU"/>
        </w:rPr>
        <w:t>Brexit – if it were to cause significant economic disruption</w:t>
      </w:r>
      <w:r>
        <w:rPr>
          <w:rFonts w:ascii="Arial" w:hAnsi="Arial" w:cs="Arial"/>
          <w:color w:val="0D0D0D"/>
          <w:spacing w:val="-5"/>
          <w:sz w:val="24"/>
          <w:szCs w:val="24"/>
          <w:lang w:val="en-AU"/>
        </w:rPr>
        <w:t xml:space="preserve"> and a major </w:t>
      </w:r>
      <w:r w:rsidRPr="004842D1">
        <w:rPr>
          <w:rFonts w:ascii="Arial" w:hAnsi="Arial" w:cs="Arial"/>
          <w:color w:val="0D0D0D"/>
          <w:spacing w:val="-5"/>
          <w:sz w:val="24"/>
          <w:szCs w:val="24"/>
          <w:lang w:val="en-AU"/>
        </w:rPr>
        <w:t>downturn in the rate of growth.</w:t>
      </w:r>
    </w:p>
    <w:p w:rsidR="004842D1" w:rsidRPr="004842D1" w:rsidRDefault="004842D1" w:rsidP="00CE3C0B">
      <w:pPr>
        <w:pStyle w:val="ListParagraph"/>
        <w:numPr>
          <w:ilvl w:val="0"/>
          <w:numId w:val="16"/>
        </w:numPr>
        <w:ind w:left="1800"/>
        <w:rPr>
          <w:rFonts w:ascii="Arial" w:hAnsi="Arial" w:cs="Arial"/>
          <w:color w:val="0D0D0D"/>
          <w:spacing w:val="-5"/>
          <w:sz w:val="24"/>
          <w:szCs w:val="24"/>
          <w:lang w:val="en-AU"/>
        </w:rPr>
      </w:pPr>
      <w:r w:rsidRPr="004842D1">
        <w:rPr>
          <w:rFonts w:ascii="Arial" w:hAnsi="Arial" w:cs="Arial"/>
          <w:color w:val="0D0D0D"/>
          <w:spacing w:val="-5"/>
          <w:sz w:val="24"/>
          <w:szCs w:val="24"/>
          <w:lang w:val="en-AU"/>
        </w:rPr>
        <w:t xml:space="preserve">Bank of England monetary policy takes action too quickly, or too far, over the next three years to raise Bank Rate and causes UK economic growth, and increases in inflation, to be weaker than we currently anticipate. </w:t>
      </w:r>
    </w:p>
    <w:p w:rsidR="004842D1" w:rsidRPr="004842D1" w:rsidRDefault="004842D1" w:rsidP="00CE3C0B">
      <w:pPr>
        <w:pStyle w:val="ListParagraph"/>
        <w:numPr>
          <w:ilvl w:val="0"/>
          <w:numId w:val="16"/>
        </w:numPr>
        <w:ind w:left="1800"/>
        <w:rPr>
          <w:rFonts w:ascii="Arial" w:hAnsi="Arial" w:cs="Arial"/>
          <w:color w:val="0D0D0D"/>
          <w:spacing w:val="-5"/>
          <w:sz w:val="24"/>
          <w:szCs w:val="24"/>
          <w:lang w:val="en-AU"/>
        </w:rPr>
      </w:pPr>
      <w:r w:rsidRPr="004842D1">
        <w:rPr>
          <w:rFonts w:ascii="Arial" w:hAnsi="Arial" w:cs="Arial"/>
          <w:color w:val="0D0D0D"/>
          <w:spacing w:val="-5"/>
          <w:sz w:val="24"/>
          <w:szCs w:val="24"/>
          <w:lang w:val="en-AU"/>
        </w:rPr>
        <w:t xml:space="preserve">A resurgence of the Eurozone sovereign debt crisis, possibly in Italy, due to its high level of government debt, low rate of economic growth and vulnerable banking system, and due to the election in March of a government which has made a lot of anti-austerity noise.  </w:t>
      </w:r>
      <w:r w:rsidR="003C219F">
        <w:rPr>
          <w:rFonts w:ascii="Arial" w:hAnsi="Arial" w:cs="Arial"/>
          <w:color w:val="0D0D0D"/>
          <w:spacing w:val="-5"/>
          <w:sz w:val="24"/>
          <w:szCs w:val="24"/>
          <w:lang w:val="en-AU"/>
        </w:rPr>
        <w:t>T</w:t>
      </w:r>
      <w:r w:rsidRPr="004842D1">
        <w:rPr>
          <w:rFonts w:ascii="Arial" w:hAnsi="Arial" w:cs="Arial"/>
          <w:color w:val="0D0D0D"/>
          <w:spacing w:val="-5"/>
          <w:sz w:val="24"/>
          <w:szCs w:val="24"/>
          <w:lang w:val="en-AU"/>
        </w:rPr>
        <w:t xml:space="preserve">he EU rejected the </w:t>
      </w:r>
      <w:r w:rsidR="003C219F">
        <w:rPr>
          <w:rFonts w:ascii="Arial" w:hAnsi="Arial" w:cs="Arial"/>
          <w:color w:val="0D0D0D"/>
          <w:spacing w:val="-5"/>
          <w:sz w:val="24"/>
          <w:szCs w:val="24"/>
          <w:lang w:val="en-AU"/>
        </w:rPr>
        <w:t xml:space="preserve">initial </w:t>
      </w:r>
      <w:r w:rsidRPr="004842D1">
        <w:rPr>
          <w:rFonts w:ascii="Arial" w:hAnsi="Arial" w:cs="Arial"/>
          <w:color w:val="0D0D0D"/>
          <w:spacing w:val="-5"/>
          <w:sz w:val="24"/>
          <w:szCs w:val="24"/>
          <w:lang w:val="en-AU"/>
        </w:rPr>
        <w:t xml:space="preserve">proposed Italian budget and demanded cuts in government spending which the Italian government has refused. </w:t>
      </w:r>
      <w:r w:rsidR="003C219F">
        <w:rPr>
          <w:rFonts w:ascii="Arial" w:hAnsi="Arial" w:cs="Arial"/>
          <w:color w:val="0D0D0D"/>
          <w:spacing w:val="-5"/>
          <w:sz w:val="24"/>
          <w:szCs w:val="24"/>
          <w:lang w:val="en-AU"/>
        </w:rPr>
        <w:t xml:space="preserve">However, a fudge was subsequently agreed but only by delaying the planned increases in expenditure to a later year. </w:t>
      </w:r>
      <w:r w:rsidRPr="004842D1">
        <w:rPr>
          <w:rFonts w:ascii="Arial" w:hAnsi="Arial" w:cs="Arial"/>
          <w:color w:val="0D0D0D"/>
          <w:spacing w:val="-5"/>
          <w:sz w:val="24"/>
          <w:szCs w:val="24"/>
          <w:lang w:val="en-AU"/>
        </w:rPr>
        <w:t xml:space="preserve">The rating agencies have started on downgrading Italian debt to one notch above junk level.  If Italian debt were to fall below investment grade, many investors would be unable to hold it.  Unsurprisingly, investors are becoming increasingly concerned by the </w:t>
      </w:r>
      <w:r w:rsidR="003C219F">
        <w:rPr>
          <w:rFonts w:ascii="Arial" w:hAnsi="Arial" w:cs="Arial"/>
          <w:color w:val="0D0D0D"/>
          <w:spacing w:val="-5"/>
          <w:sz w:val="24"/>
          <w:szCs w:val="24"/>
          <w:lang w:val="en-AU"/>
        </w:rPr>
        <w:t xml:space="preserve">words and </w:t>
      </w:r>
      <w:r w:rsidRPr="004842D1">
        <w:rPr>
          <w:rFonts w:ascii="Arial" w:hAnsi="Arial" w:cs="Arial"/>
          <w:color w:val="0D0D0D"/>
          <w:spacing w:val="-5"/>
          <w:sz w:val="24"/>
          <w:szCs w:val="24"/>
          <w:lang w:val="en-AU"/>
        </w:rPr>
        <w:t xml:space="preserve">actions of the Italian government and consequently, Italian bond yields have risen – at a time when the government faces having to refinance large amounts of debt maturing in 2019. </w:t>
      </w:r>
    </w:p>
    <w:p w:rsidR="004842D1" w:rsidRPr="004842D1" w:rsidRDefault="004842D1" w:rsidP="00CE3C0B">
      <w:pPr>
        <w:pStyle w:val="ListParagraph"/>
        <w:numPr>
          <w:ilvl w:val="0"/>
          <w:numId w:val="16"/>
        </w:numPr>
        <w:ind w:left="1800"/>
        <w:rPr>
          <w:rFonts w:ascii="Arial" w:hAnsi="Arial" w:cs="Arial"/>
          <w:color w:val="0D0D0D"/>
          <w:spacing w:val="-5"/>
          <w:sz w:val="24"/>
          <w:szCs w:val="24"/>
          <w:lang w:val="en-AU"/>
        </w:rPr>
      </w:pPr>
      <w:r w:rsidRPr="004842D1">
        <w:rPr>
          <w:rFonts w:ascii="Arial" w:hAnsi="Arial" w:cs="Arial"/>
          <w:color w:val="0D0D0D"/>
          <w:spacing w:val="-5"/>
          <w:sz w:val="24"/>
          <w:szCs w:val="24"/>
          <w:lang w:val="en-AU"/>
        </w:rPr>
        <w:t>Weak capitalisation of some European banks. Italian banks are particularly vulnerable; one factor is that they hold a high level of Italian government debt - debt which is falling in value.  This is therefore undermining their capital ratios and raises the question of whether they will need to raise fresh capital to plug the gap.</w:t>
      </w:r>
    </w:p>
    <w:p w:rsidR="004842D1" w:rsidRPr="004842D1" w:rsidRDefault="004842D1" w:rsidP="00CE3C0B">
      <w:pPr>
        <w:pStyle w:val="ListParagraph"/>
        <w:numPr>
          <w:ilvl w:val="0"/>
          <w:numId w:val="16"/>
        </w:numPr>
        <w:ind w:left="1800"/>
        <w:rPr>
          <w:rFonts w:ascii="Arial" w:hAnsi="Arial" w:cs="Arial"/>
          <w:color w:val="0D0D0D"/>
          <w:spacing w:val="-5"/>
          <w:sz w:val="24"/>
          <w:szCs w:val="24"/>
          <w:lang w:val="en-AU"/>
        </w:rPr>
      </w:pPr>
      <w:r w:rsidRPr="0011525A">
        <w:rPr>
          <w:rFonts w:ascii="Arial" w:hAnsi="Arial" w:cs="Arial"/>
          <w:b/>
          <w:color w:val="0D0D0D"/>
          <w:spacing w:val="-5"/>
          <w:sz w:val="24"/>
          <w:szCs w:val="24"/>
          <w:lang w:val="en-AU"/>
        </w:rPr>
        <w:t>German minority government</w:t>
      </w:r>
      <w:r w:rsidRPr="004842D1">
        <w:rPr>
          <w:rFonts w:ascii="Arial" w:hAnsi="Arial" w:cs="Arial"/>
          <w:color w:val="0D0D0D"/>
          <w:spacing w:val="-5"/>
          <w:sz w:val="24"/>
          <w:szCs w:val="24"/>
          <w:lang w:val="en-AU"/>
        </w:rPr>
        <w:t xml:space="preserve">.  In the German general election of September 2017, Angela Merkel’s CDU party was left in a vulnerable minority position dependent on the fractious support of the SPD party, as a result of the rise in popularity of the anti-immigration </w:t>
      </w:r>
      <w:proofErr w:type="spellStart"/>
      <w:r w:rsidRPr="004842D1">
        <w:rPr>
          <w:rFonts w:ascii="Arial" w:hAnsi="Arial" w:cs="Arial"/>
          <w:color w:val="0D0D0D"/>
          <w:spacing w:val="-5"/>
          <w:sz w:val="24"/>
          <w:szCs w:val="24"/>
          <w:lang w:val="en-AU"/>
        </w:rPr>
        <w:t>AfD</w:t>
      </w:r>
      <w:proofErr w:type="spellEnd"/>
      <w:r w:rsidRPr="004842D1">
        <w:rPr>
          <w:rFonts w:ascii="Arial" w:hAnsi="Arial" w:cs="Arial"/>
          <w:color w:val="0D0D0D"/>
          <w:spacing w:val="-5"/>
          <w:sz w:val="24"/>
          <w:szCs w:val="24"/>
          <w:lang w:val="en-AU"/>
        </w:rPr>
        <w:t xml:space="preserve"> party. Then in October 2018, the results of the Bavarian and Hesse state elections radically undermined the SPD party and showed a sharp fall in support for the CDU. As a result, the SPD is reviewing whether it can continue to support a coalition that is so damaging to its electoral popularity. After the result of the Hesse state election, Angela Merkel announced that she would not stand for re-election as CDU party leader at her party’s convention in December 2018. However, this makes little practical difference as she is still expected to aim to continue for now as the Chancellor. However, there are five more state elections coming up in 2019 and EU parliamentary elections in May/June; these could result in a further loss of electoral support for both the CDU and SPD which could also undermine her leadership.   </w:t>
      </w:r>
    </w:p>
    <w:p w:rsidR="004842D1" w:rsidRPr="004842D1" w:rsidRDefault="004842D1" w:rsidP="00CE3C0B">
      <w:pPr>
        <w:pStyle w:val="ListParagraph"/>
        <w:numPr>
          <w:ilvl w:val="0"/>
          <w:numId w:val="16"/>
        </w:numPr>
        <w:ind w:left="1800"/>
        <w:rPr>
          <w:rFonts w:ascii="Arial" w:hAnsi="Arial" w:cs="Arial"/>
          <w:color w:val="0D0D0D"/>
          <w:spacing w:val="-5"/>
          <w:sz w:val="24"/>
          <w:szCs w:val="24"/>
          <w:lang w:val="en-AU"/>
        </w:rPr>
      </w:pPr>
      <w:r w:rsidRPr="0011525A">
        <w:rPr>
          <w:rFonts w:ascii="Arial" w:hAnsi="Arial" w:cs="Arial"/>
          <w:b/>
          <w:color w:val="0D0D0D"/>
          <w:spacing w:val="-5"/>
          <w:sz w:val="24"/>
          <w:szCs w:val="24"/>
          <w:lang w:val="en-AU"/>
        </w:rPr>
        <w:lastRenderedPageBreak/>
        <w:t xml:space="preserve">Other minority </w:t>
      </w:r>
      <w:proofErr w:type="spellStart"/>
      <w:r w:rsidRPr="0011525A">
        <w:rPr>
          <w:rFonts w:ascii="Arial" w:hAnsi="Arial" w:cs="Arial"/>
          <w:b/>
          <w:color w:val="0D0D0D"/>
          <w:spacing w:val="-5"/>
          <w:sz w:val="24"/>
          <w:szCs w:val="24"/>
          <w:lang w:val="en-AU"/>
        </w:rPr>
        <w:t>eurozone</w:t>
      </w:r>
      <w:proofErr w:type="spellEnd"/>
      <w:r w:rsidRPr="0011525A">
        <w:rPr>
          <w:rFonts w:ascii="Arial" w:hAnsi="Arial" w:cs="Arial"/>
          <w:b/>
          <w:color w:val="0D0D0D"/>
          <w:spacing w:val="-5"/>
          <w:sz w:val="24"/>
          <w:szCs w:val="24"/>
          <w:lang w:val="en-AU"/>
        </w:rPr>
        <w:t xml:space="preserve"> governments</w:t>
      </w:r>
      <w:r w:rsidRPr="004842D1">
        <w:rPr>
          <w:rFonts w:ascii="Arial" w:hAnsi="Arial" w:cs="Arial"/>
          <w:color w:val="0D0D0D"/>
          <w:spacing w:val="-5"/>
          <w:sz w:val="24"/>
          <w:szCs w:val="24"/>
          <w:lang w:val="en-AU"/>
        </w:rPr>
        <w:t xml:space="preserve">. Spain, Portugal, </w:t>
      </w:r>
      <w:r w:rsidR="003C219F">
        <w:rPr>
          <w:rFonts w:ascii="Arial" w:hAnsi="Arial" w:cs="Arial"/>
          <w:color w:val="0D0D0D"/>
          <w:spacing w:val="-5"/>
          <w:sz w:val="24"/>
          <w:szCs w:val="24"/>
          <w:lang w:val="en-AU"/>
        </w:rPr>
        <w:t xml:space="preserve">Ireland, </w:t>
      </w:r>
      <w:r w:rsidRPr="004842D1">
        <w:rPr>
          <w:rFonts w:ascii="Arial" w:hAnsi="Arial" w:cs="Arial"/>
          <w:color w:val="0D0D0D"/>
          <w:spacing w:val="-5"/>
          <w:sz w:val="24"/>
          <w:szCs w:val="24"/>
          <w:lang w:val="en-AU"/>
        </w:rPr>
        <w:t>Netherlands and Belgium all have vulnerable minority governments dependent on coalitions which could prove fragile. Sweden is also struggling to form a government due to the anti-immigration party holding the balance of power, and which no other party is willing to form a coalition with.</w:t>
      </w:r>
      <w:r w:rsidR="003C219F">
        <w:rPr>
          <w:rFonts w:ascii="Arial" w:hAnsi="Arial" w:cs="Arial"/>
          <w:color w:val="0D0D0D"/>
          <w:spacing w:val="-5"/>
          <w:sz w:val="24"/>
          <w:szCs w:val="24"/>
          <w:lang w:val="en-AU"/>
        </w:rPr>
        <w:t xml:space="preserve"> The Belgian coalition collapsed in December 2018 but a minority caretaker government has been appointed until May EU wide general elections.</w:t>
      </w:r>
    </w:p>
    <w:p w:rsidR="004842D1" w:rsidRPr="004842D1" w:rsidRDefault="004842D1" w:rsidP="00CE3C0B">
      <w:pPr>
        <w:pStyle w:val="ListParagraph"/>
        <w:numPr>
          <w:ilvl w:val="0"/>
          <w:numId w:val="16"/>
        </w:numPr>
        <w:ind w:left="1800"/>
        <w:rPr>
          <w:rFonts w:ascii="Arial" w:hAnsi="Arial" w:cs="Arial"/>
          <w:color w:val="0D0D0D"/>
          <w:spacing w:val="-5"/>
          <w:sz w:val="24"/>
          <w:szCs w:val="24"/>
          <w:lang w:val="en-AU"/>
        </w:rPr>
      </w:pPr>
      <w:r w:rsidRPr="0011525A">
        <w:rPr>
          <w:rFonts w:ascii="Arial" w:hAnsi="Arial" w:cs="Arial"/>
          <w:b/>
          <w:color w:val="0D0D0D"/>
          <w:spacing w:val="-5"/>
          <w:sz w:val="24"/>
          <w:szCs w:val="24"/>
          <w:lang w:val="en-AU"/>
        </w:rPr>
        <w:t>Austria, the Czech Republic and</w:t>
      </w:r>
      <w:r w:rsidRPr="004842D1">
        <w:rPr>
          <w:rFonts w:ascii="Arial" w:hAnsi="Arial" w:cs="Arial"/>
          <w:color w:val="0D0D0D"/>
          <w:spacing w:val="-5"/>
          <w:sz w:val="24"/>
          <w:szCs w:val="24"/>
          <w:lang w:val="en-AU"/>
        </w:rPr>
        <w:t xml:space="preserve"> </w:t>
      </w:r>
      <w:r w:rsidRPr="0011525A">
        <w:rPr>
          <w:rFonts w:ascii="Arial" w:hAnsi="Arial" w:cs="Arial"/>
          <w:b/>
          <w:color w:val="0D0D0D"/>
          <w:spacing w:val="-5"/>
          <w:sz w:val="24"/>
          <w:szCs w:val="24"/>
          <w:lang w:val="en-AU"/>
        </w:rPr>
        <w:t>Hungary</w:t>
      </w:r>
      <w:r w:rsidRPr="004842D1">
        <w:rPr>
          <w:rFonts w:ascii="Arial" w:hAnsi="Arial" w:cs="Arial"/>
          <w:color w:val="0D0D0D"/>
          <w:spacing w:val="-5"/>
          <w:sz w:val="24"/>
          <w:szCs w:val="24"/>
          <w:lang w:val="en-AU"/>
        </w:rPr>
        <w:t xml:space="preserve"> now form a strongly anti-immigration bloc within the EU while Italy, this year, has also elected a strongly anti-immigration government.  Elections to the EU parliament are due in May/June 2019.</w:t>
      </w:r>
    </w:p>
    <w:p w:rsidR="004842D1" w:rsidRPr="004842D1" w:rsidRDefault="004842D1" w:rsidP="00CE3C0B">
      <w:pPr>
        <w:pStyle w:val="ListParagraph"/>
        <w:numPr>
          <w:ilvl w:val="0"/>
          <w:numId w:val="16"/>
        </w:numPr>
        <w:ind w:left="1800"/>
        <w:rPr>
          <w:rFonts w:ascii="Arial" w:hAnsi="Arial" w:cs="Arial"/>
          <w:color w:val="0D0D0D"/>
          <w:spacing w:val="-5"/>
          <w:sz w:val="24"/>
          <w:szCs w:val="24"/>
          <w:lang w:val="en-AU"/>
        </w:rPr>
      </w:pPr>
      <w:r w:rsidRPr="004842D1">
        <w:rPr>
          <w:rFonts w:ascii="Arial" w:hAnsi="Arial" w:cs="Arial"/>
          <w:color w:val="0D0D0D"/>
          <w:spacing w:val="-5"/>
          <w:sz w:val="24"/>
          <w:szCs w:val="24"/>
          <w:lang w:val="en-AU"/>
        </w:rPr>
        <w:t xml:space="preserve">Further increases in interest rates in the US could spark a sudden flight of investment funds from more risky assets e.g. shares, into bonds yielding a much improved yield.  </w:t>
      </w:r>
      <w:r w:rsidR="003C219F">
        <w:rPr>
          <w:rFonts w:ascii="Arial" w:hAnsi="Arial" w:cs="Arial"/>
          <w:color w:val="0D0D0D"/>
          <w:spacing w:val="-5"/>
          <w:sz w:val="24"/>
          <w:szCs w:val="24"/>
          <w:lang w:val="en-AU"/>
        </w:rPr>
        <w:t>Throughout the last quarter of</w:t>
      </w:r>
      <w:r w:rsidR="00ED5903">
        <w:rPr>
          <w:rFonts w:ascii="Arial" w:hAnsi="Arial" w:cs="Arial"/>
          <w:color w:val="0D0D0D"/>
          <w:spacing w:val="-5"/>
          <w:sz w:val="24"/>
          <w:szCs w:val="24"/>
          <w:lang w:val="en-AU"/>
        </w:rPr>
        <w:t xml:space="preserve"> </w:t>
      </w:r>
      <w:r w:rsidRPr="004842D1">
        <w:rPr>
          <w:rFonts w:ascii="Arial" w:hAnsi="Arial" w:cs="Arial"/>
          <w:color w:val="0D0D0D"/>
          <w:spacing w:val="-5"/>
          <w:sz w:val="24"/>
          <w:szCs w:val="24"/>
          <w:lang w:val="en-AU"/>
        </w:rPr>
        <w:t xml:space="preserve">2018, we </w:t>
      </w:r>
      <w:r w:rsidR="00ED5903">
        <w:rPr>
          <w:rFonts w:ascii="Arial" w:hAnsi="Arial" w:cs="Arial"/>
          <w:color w:val="0D0D0D"/>
          <w:spacing w:val="-5"/>
          <w:sz w:val="24"/>
          <w:szCs w:val="24"/>
          <w:lang w:val="en-AU"/>
        </w:rPr>
        <w:t>saw</w:t>
      </w:r>
      <w:r w:rsidRPr="004842D1">
        <w:rPr>
          <w:rFonts w:ascii="Arial" w:hAnsi="Arial" w:cs="Arial"/>
          <w:color w:val="0D0D0D"/>
          <w:spacing w:val="-5"/>
          <w:sz w:val="24"/>
          <w:szCs w:val="24"/>
          <w:lang w:val="en-AU"/>
        </w:rPr>
        <w:t xml:space="preserve"> a sharp fall in equity markets but this has been limited, as yet.  Emerging countries which have borrowed heavily in dollar denominated debt, could be particularly exposed to this risk of an investor flight to safe havens e.g. UK gilts.</w:t>
      </w:r>
    </w:p>
    <w:p w:rsidR="004842D1" w:rsidRDefault="004842D1" w:rsidP="00CE3C0B">
      <w:pPr>
        <w:pStyle w:val="ListParagraph"/>
        <w:numPr>
          <w:ilvl w:val="0"/>
          <w:numId w:val="16"/>
        </w:numPr>
        <w:ind w:left="1800"/>
        <w:rPr>
          <w:rFonts w:ascii="Arial" w:hAnsi="Arial" w:cs="Arial"/>
          <w:color w:val="0D0D0D"/>
          <w:spacing w:val="-5"/>
          <w:sz w:val="24"/>
          <w:szCs w:val="24"/>
          <w:lang w:val="en-AU"/>
        </w:rPr>
      </w:pPr>
      <w:r w:rsidRPr="004842D1">
        <w:rPr>
          <w:rFonts w:ascii="Arial" w:hAnsi="Arial" w:cs="Arial"/>
          <w:color w:val="0D0D0D"/>
          <w:spacing w:val="-5"/>
          <w:sz w:val="24"/>
          <w:szCs w:val="24"/>
          <w:lang w:val="en-AU"/>
        </w:rPr>
        <w:t>There are concerns around the level of US corporate debt which has swollen massively during the period of low borrowing rates in order to finance mergers and acquisitions. This has resulted in the debt of many large corporations being downgraded to a BBB credit rating, close to junk status. Indeed, 48% of total investment grade corporate debt is now rated at BBB. If such corporations fail to generate profits and cash flow to reduce their debt levels as expected, this could tip their debt into junk ratings which will increase their cost of financing and further negatively impact profits and cash flow.</w:t>
      </w:r>
    </w:p>
    <w:p w:rsidR="0011525A" w:rsidRPr="0011525A" w:rsidRDefault="0011525A" w:rsidP="00CE3C0B">
      <w:pPr>
        <w:pStyle w:val="ListParagraph"/>
        <w:numPr>
          <w:ilvl w:val="0"/>
          <w:numId w:val="16"/>
        </w:numPr>
        <w:ind w:left="1800"/>
        <w:rPr>
          <w:rFonts w:ascii="Arial" w:hAnsi="Arial" w:cs="Arial"/>
          <w:color w:val="0D0D0D"/>
          <w:spacing w:val="-5"/>
          <w:sz w:val="24"/>
          <w:szCs w:val="24"/>
          <w:lang w:val="en-AU"/>
        </w:rPr>
      </w:pPr>
      <w:r>
        <w:rPr>
          <w:rFonts w:ascii="Arial" w:hAnsi="Arial" w:cs="Arial"/>
          <w:color w:val="0D0D0D"/>
          <w:spacing w:val="-5"/>
          <w:sz w:val="24"/>
          <w:szCs w:val="24"/>
          <w:lang w:val="en-AU"/>
        </w:rPr>
        <w:t xml:space="preserve">Geopolitical </w:t>
      </w:r>
      <w:r w:rsidRPr="004842D1">
        <w:rPr>
          <w:rFonts w:ascii="Arial" w:hAnsi="Arial" w:cs="Arial"/>
          <w:color w:val="0D0D0D"/>
          <w:spacing w:val="-5"/>
          <w:sz w:val="24"/>
          <w:szCs w:val="24"/>
          <w:lang w:val="en-AU"/>
        </w:rPr>
        <w:t>risks, especially North Korea, but also in Europe and the Middle East, which could lead to increasing safe haven flows</w:t>
      </w:r>
      <w:r w:rsidRPr="004842D1">
        <w:rPr>
          <w:rFonts w:ascii="Arial" w:hAnsi="Arial" w:cs="Arial"/>
          <w:b/>
          <w:color w:val="0D0D0D"/>
          <w:spacing w:val="-5"/>
          <w:sz w:val="24"/>
          <w:szCs w:val="24"/>
          <w:lang w:val="en-AU"/>
        </w:rPr>
        <w:t>.</w:t>
      </w:r>
    </w:p>
    <w:p w:rsidR="0011525A" w:rsidRPr="0011525A" w:rsidRDefault="0011525A" w:rsidP="0011525A">
      <w:pPr>
        <w:pStyle w:val="ListParagraph"/>
        <w:ind w:left="1800"/>
        <w:rPr>
          <w:rFonts w:ascii="Arial" w:hAnsi="Arial" w:cs="Arial"/>
          <w:color w:val="0D0D0D"/>
          <w:spacing w:val="-5"/>
          <w:sz w:val="24"/>
          <w:szCs w:val="24"/>
          <w:lang w:val="en-AU"/>
        </w:rPr>
      </w:pPr>
    </w:p>
    <w:p w:rsidR="0011525A" w:rsidRDefault="0011525A" w:rsidP="0011525A">
      <w:pPr>
        <w:pStyle w:val="ListParagraph"/>
        <w:numPr>
          <w:ilvl w:val="0"/>
          <w:numId w:val="15"/>
        </w:numPr>
        <w:rPr>
          <w:rFonts w:ascii="Arial" w:hAnsi="Arial" w:cs="Arial"/>
          <w:color w:val="0D0D0D"/>
          <w:spacing w:val="-5"/>
          <w:sz w:val="24"/>
          <w:szCs w:val="24"/>
        </w:rPr>
      </w:pPr>
      <w:r w:rsidRPr="0011525A">
        <w:rPr>
          <w:rFonts w:ascii="Arial" w:hAnsi="Arial" w:cs="Arial"/>
          <w:b/>
          <w:color w:val="0D0D0D"/>
          <w:spacing w:val="-5"/>
          <w:sz w:val="24"/>
          <w:szCs w:val="24"/>
        </w:rPr>
        <w:t>Upside risks to current forecasts for UK gilt yields and PWLB rates</w:t>
      </w:r>
    </w:p>
    <w:p w:rsidR="004842D1" w:rsidRPr="004842D1" w:rsidRDefault="004842D1" w:rsidP="00CE3C0B">
      <w:pPr>
        <w:numPr>
          <w:ilvl w:val="0"/>
          <w:numId w:val="18"/>
        </w:numPr>
        <w:overflowPunct/>
        <w:autoSpaceDE/>
        <w:autoSpaceDN/>
        <w:adjustRightInd/>
        <w:ind w:left="1800"/>
        <w:jc w:val="both"/>
        <w:textAlignment w:val="auto"/>
        <w:rPr>
          <w:rFonts w:ascii="Arial" w:eastAsia="Calibri" w:hAnsi="Arial" w:cs="Arial"/>
          <w:szCs w:val="24"/>
          <w:lang w:val="en-AU"/>
        </w:rPr>
      </w:pPr>
      <w:r w:rsidRPr="004842D1">
        <w:rPr>
          <w:rFonts w:ascii="Arial" w:eastAsia="Calibri" w:hAnsi="Arial" w:cs="Arial"/>
          <w:b/>
          <w:szCs w:val="24"/>
          <w:lang w:val="en-AU"/>
        </w:rPr>
        <w:t>Brexit</w:t>
      </w:r>
      <w:r w:rsidRPr="004842D1">
        <w:rPr>
          <w:rFonts w:ascii="Arial" w:eastAsia="Calibri" w:hAnsi="Arial" w:cs="Arial"/>
          <w:szCs w:val="24"/>
          <w:lang w:val="en-AU"/>
        </w:rPr>
        <w:t xml:space="preserve"> – if both sides were to agree a compromise that removed all threats of economic and political disruption. </w:t>
      </w:r>
    </w:p>
    <w:p w:rsidR="004842D1" w:rsidRPr="004842D1" w:rsidRDefault="004842D1" w:rsidP="00CE3C0B">
      <w:pPr>
        <w:numPr>
          <w:ilvl w:val="0"/>
          <w:numId w:val="18"/>
        </w:numPr>
        <w:overflowPunct/>
        <w:autoSpaceDE/>
        <w:autoSpaceDN/>
        <w:adjustRightInd/>
        <w:ind w:left="1800"/>
        <w:jc w:val="both"/>
        <w:textAlignment w:val="auto"/>
        <w:rPr>
          <w:rFonts w:ascii="Arial" w:eastAsia="Calibri" w:hAnsi="Arial" w:cs="Arial"/>
          <w:szCs w:val="24"/>
          <w:lang w:val="en-AU"/>
        </w:rPr>
      </w:pPr>
      <w:r w:rsidRPr="004842D1">
        <w:rPr>
          <w:rFonts w:ascii="Arial" w:eastAsia="Calibri" w:hAnsi="Arial" w:cs="Arial"/>
          <w:b/>
          <w:szCs w:val="24"/>
          <w:lang w:val="en-AU"/>
        </w:rPr>
        <w:t>The Fed causing a sudden shock in financial markets</w:t>
      </w:r>
      <w:r w:rsidRPr="004842D1">
        <w:rPr>
          <w:rFonts w:ascii="Arial" w:eastAsia="Calibri" w:hAnsi="Arial" w:cs="Arial"/>
          <w:szCs w:val="24"/>
          <w:lang w:val="en-AU"/>
        </w:rPr>
        <w:t xml:space="preserve"> through misjudging the pace and strength of increases in its Fed. Funds Rate and in the pace and strength of reversal of QE, which then leads to a fundamental reassessment by investors of the relative risks of holding bonds, as opposed to equities.  This could lead to a major flight from bonds to equities and a sharp increase in bond yields in the US, which could then spill over into impacting bond yields around the world.</w:t>
      </w:r>
    </w:p>
    <w:p w:rsidR="004842D1" w:rsidRPr="004842D1" w:rsidRDefault="004842D1" w:rsidP="00CE3C0B">
      <w:pPr>
        <w:numPr>
          <w:ilvl w:val="0"/>
          <w:numId w:val="17"/>
        </w:numPr>
        <w:overflowPunct/>
        <w:autoSpaceDE/>
        <w:autoSpaceDN/>
        <w:adjustRightInd/>
        <w:ind w:left="1800"/>
        <w:jc w:val="both"/>
        <w:textAlignment w:val="auto"/>
        <w:rPr>
          <w:rFonts w:ascii="Arial" w:eastAsia="Calibri" w:hAnsi="Arial" w:cs="Arial"/>
          <w:szCs w:val="24"/>
          <w:lang w:val="en-AU"/>
        </w:rPr>
      </w:pPr>
      <w:r w:rsidRPr="004842D1">
        <w:rPr>
          <w:rFonts w:ascii="Arial" w:eastAsia="Calibri" w:hAnsi="Arial" w:cs="Arial"/>
          <w:szCs w:val="24"/>
          <w:lang w:val="en-AU"/>
        </w:rPr>
        <w:t xml:space="preserve">The </w:t>
      </w:r>
      <w:r w:rsidRPr="004842D1">
        <w:rPr>
          <w:rFonts w:ascii="Arial" w:eastAsia="Calibri" w:hAnsi="Arial" w:cs="Arial"/>
          <w:b/>
          <w:szCs w:val="24"/>
          <w:lang w:val="en-AU"/>
        </w:rPr>
        <w:t>Bank of England is too slow</w:t>
      </w:r>
      <w:r w:rsidRPr="004842D1">
        <w:rPr>
          <w:rFonts w:ascii="Arial" w:eastAsia="Calibri" w:hAnsi="Arial" w:cs="Arial"/>
          <w:szCs w:val="24"/>
          <w:lang w:val="en-AU"/>
        </w:rPr>
        <w:t xml:space="preserve"> in its pace and strength of increases in Bank Rate and, therefore, allows inflation pressures to build up too strongly within the UK economy, which then necessitates a later rapid series of increases in Bank Rate faster than we currently expect. </w:t>
      </w:r>
    </w:p>
    <w:p w:rsidR="004842D1" w:rsidRDefault="004842D1" w:rsidP="00CE3C0B">
      <w:pPr>
        <w:numPr>
          <w:ilvl w:val="0"/>
          <w:numId w:val="17"/>
        </w:numPr>
        <w:overflowPunct/>
        <w:autoSpaceDE/>
        <w:autoSpaceDN/>
        <w:adjustRightInd/>
        <w:ind w:left="1800"/>
        <w:jc w:val="both"/>
        <w:textAlignment w:val="auto"/>
        <w:rPr>
          <w:rFonts w:ascii="Arial" w:eastAsia="Calibri" w:hAnsi="Arial" w:cs="Arial"/>
          <w:sz w:val="22"/>
          <w:szCs w:val="22"/>
          <w:lang w:val="en-AU"/>
        </w:rPr>
      </w:pPr>
      <w:r w:rsidRPr="004842D1">
        <w:rPr>
          <w:rFonts w:ascii="Arial" w:eastAsia="Calibri" w:hAnsi="Arial" w:cs="Arial"/>
          <w:b/>
          <w:szCs w:val="24"/>
          <w:lang w:val="en-AU"/>
        </w:rPr>
        <w:t>UK inflation,</w:t>
      </w:r>
      <w:r w:rsidRPr="004842D1">
        <w:rPr>
          <w:rFonts w:ascii="Arial" w:eastAsia="Calibri" w:hAnsi="Arial" w:cs="Arial"/>
          <w:szCs w:val="24"/>
          <w:lang w:val="en-AU"/>
        </w:rPr>
        <w:t xml:space="preserve"> whether domestically generated or imported, returning to sustained significantly higher levels causing an increase in the inflation premium inherent to gilt yields</w:t>
      </w:r>
      <w:r>
        <w:rPr>
          <w:rFonts w:ascii="Arial" w:eastAsia="Calibri" w:hAnsi="Arial" w:cs="Arial"/>
          <w:szCs w:val="24"/>
          <w:lang w:val="en-AU"/>
        </w:rPr>
        <w:t>.</w:t>
      </w:r>
    </w:p>
    <w:p w:rsidR="004842D1" w:rsidRPr="004842D1" w:rsidRDefault="004842D1" w:rsidP="004842D1">
      <w:pPr>
        <w:ind w:left="1080" w:firstLine="720"/>
        <w:rPr>
          <w:rFonts w:ascii="Arial" w:hAnsi="Arial" w:cs="Arial"/>
          <w:b/>
          <w:color w:val="0D0D0D"/>
          <w:spacing w:val="-5"/>
          <w:szCs w:val="24"/>
        </w:rPr>
      </w:pPr>
    </w:p>
    <w:p w:rsidR="004842D1" w:rsidRDefault="004842D1" w:rsidP="004842D1">
      <w:pPr>
        <w:pStyle w:val="ListParagraph"/>
        <w:rPr>
          <w:rFonts w:ascii="Arial" w:hAnsi="Arial" w:cs="Arial"/>
          <w:color w:val="0D0D0D"/>
          <w:spacing w:val="-5"/>
          <w:sz w:val="24"/>
          <w:szCs w:val="24"/>
        </w:rPr>
      </w:pPr>
    </w:p>
    <w:p w:rsidR="006524BD" w:rsidRPr="006524BD" w:rsidRDefault="006524BD" w:rsidP="006524BD">
      <w:pPr>
        <w:rPr>
          <w:rFonts w:ascii="Arial" w:eastAsia="Calibri" w:hAnsi="Arial" w:cs="Arial"/>
          <w:b/>
          <w:bCs/>
          <w:color w:val="0D0D0D"/>
          <w:u w:val="single"/>
        </w:rPr>
      </w:pPr>
    </w:p>
    <w:p w:rsidR="006540B3" w:rsidRPr="006540B3" w:rsidRDefault="006540B3" w:rsidP="00EB6F8F">
      <w:pPr>
        <w:overflowPunct/>
        <w:autoSpaceDE/>
        <w:autoSpaceDN/>
        <w:adjustRightInd/>
        <w:textAlignment w:val="auto"/>
        <w:rPr>
          <w:rFonts w:ascii="Arial" w:eastAsia="Calibri" w:hAnsi="Arial" w:cs="Arial"/>
          <w:b/>
          <w:bCs/>
          <w:spacing w:val="-5"/>
          <w:sz w:val="22"/>
          <w:szCs w:val="22"/>
        </w:rPr>
      </w:pPr>
    </w:p>
    <w:p w:rsidR="006540B3" w:rsidRDefault="006540B3" w:rsidP="00EB6F8F">
      <w:pPr>
        <w:overflowPunct/>
        <w:autoSpaceDE/>
        <w:autoSpaceDN/>
        <w:adjustRightInd/>
        <w:textAlignment w:val="auto"/>
        <w:rPr>
          <w:rFonts w:ascii="Arial" w:hAnsi="Arial" w:cs="Arial"/>
          <w:b/>
          <w:noProof/>
          <w:szCs w:val="24"/>
        </w:rPr>
      </w:pPr>
      <w:r>
        <w:rPr>
          <w:szCs w:val="24"/>
        </w:rPr>
        <w:br w:type="page"/>
      </w:r>
    </w:p>
    <w:p w:rsidR="006540B3" w:rsidRDefault="006540B3" w:rsidP="005804A2">
      <w:pPr>
        <w:pStyle w:val="subhead"/>
        <w:numPr>
          <w:ilvl w:val="0"/>
          <w:numId w:val="0"/>
        </w:numPr>
        <w:spacing w:before="0" w:after="0"/>
        <w:jc w:val="left"/>
        <w:rPr>
          <w:sz w:val="24"/>
          <w:szCs w:val="24"/>
        </w:rPr>
      </w:pPr>
    </w:p>
    <w:p w:rsidR="000E70A9" w:rsidRPr="00714CDF" w:rsidRDefault="000E70A9" w:rsidP="005804A2">
      <w:pPr>
        <w:jc w:val="right"/>
        <w:rPr>
          <w:rFonts w:ascii="Arial" w:hAnsi="Arial" w:cs="Arial"/>
          <w:b/>
          <w:noProof/>
          <w:spacing w:val="-5"/>
          <w:szCs w:val="44"/>
        </w:rPr>
      </w:pPr>
      <w:r w:rsidRPr="00714CDF">
        <w:rPr>
          <w:rFonts w:ascii="Arial" w:hAnsi="Arial" w:cs="Arial"/>
          <w:b/>
          <w:noProof/>
          <w:spacing w:val="-5"/>
          <w:szCs w:val="44"/>
        </w:rPr>
        <w:t xml:space="preserve">Appendix </w:t>
      </w:r>
      <w:r w:rsidR="0094462D" w:rsidRPr="00714CDF">
        <w:rPr>
          <w:rFonts w:ascii="Arial" w:hAnsi="Arial" w:cs="Arial"/>
          <w:b/>
          <w:noProof/>
          <w:spacing w:val="-5"/>
          <w:szCs w:val="44"/>
        </w:rPr>
        <w:t>2</w:t>
      </w:r>
      <w:r w:rsidR="00F11F4E" w:rsidRPr="00714CDF">
        <w:rPr>
          <w:rFonts w:ascii="Arial" w:hAnsi="Arial" w:cs="Arial"/>
          <w:b/>
          <w:noProof/>
          <w:spacing w:val="-5"/>
          <w:szCs w:val="44"/>
        </w:rPr>
        <w:t xml:space="preserve"> </w:t>
      </w:r>
    </w:p>
    <w:p w:rsidR="00F11F4E" w:rsidRPr="00F11F4E" w:rsidRDefault="00F11F4E" w:rsidP="005804A2">
      <w:pPr>
        <w:pStyle w:val="BodyText2"/>
        <w:jc w:val="right"/>
        <w:rPr>
          <w:rFonts w:cs="Arial"/>
          <w:b/>
          <w:noProof/>
          <w:color w:val="auto"/>
          <w:spacing w:val="-5"/>
          <w:sz w:val="24"/>
          <w:szCs w:val="44"/>
        </w:rPr>
      </w:pPr>
    </w:p>
    <w:p w:rsidR="000E70A9" w:rsidRPr="00F11F4E" w:rsidRDefault="000E70A9" w:rsidP="005804A2">
      <w:pPr>
        <w:pStyle w:val="BodyText2"/>
        <w:jc w:val="both"/>
        <w:rPr>
          <w:rFonts w:cs="Arial"/>
          <w:noProof/>
          <w:color w:val="auto"/>
          <w:spacing w:val="-5"/>
          <w:sz w:val="24"/>
          <w:szCs w:val="44"/>
        </w:rPr>
      </w:pPr>
      <w:r w:rsidRPr="00F11F4E">
        <w:rPr>
          <w:rFonts w:cs="Arial"/>
          <w:b/>
          <w:noProof/>
          <w:color w:val="auto"/>
          <w:spacing w:val="-5"/>
          <w:sz w:val="24"/>
          <w:szCs w:val="44"/>
        </w:rPr>
        <w:t>Treasury Management Practice (TMP1) – Credit and Counterparty Risk Management</w:t>
      </w:r>
    </w:p>
    <w:p w:rsidR="000E70A9" w:rsidRPr="00F11F4E" w:rsidRDefault="000E70A9" w:rsidP="005804A2">
      <w:pPr>
        <w:jc w:val="both"/>
        <w:rPr>
          <w:rFonts w:ascii="Arial" w:hAnsi="Arial" w:cs="Arial"/>
          <w:iCs/>
          <w:szCs w:val="22"/>
        </w:rPr>
      </w:pPr>
      <w:r w:rsidRPr="00F11F4E">
        <w:rPr>
          <w:rFonts w:ascii="Arial" w:hAnsi="Arial" w:cs="Arial"/>
          <w:iCs/>
          <w:szCs w:val="22"/>
        </w:rPr>
        <w:t xml:space="preserve"> </w:t>
      </w:r>
    </w:p>
    <w:p w:rsidR="007D455C" w:rsidRPr="00F11F4E" w:rsidRDefault="000E70A9" w:rsidP="00CE3C0B">
      <w:pPr>
        <w:numPr>
          <w:ilvl w:val="0"/>
          <w:numId w:val="9"/>
        </w:numPr>
        <w:ind w:left="426" w:hanging="426"/>
        <w:rPr>
          <w:rFonts w:ascii="Arial" w:hAnsi="Arial" w:cs="Arial"/>
        </w:rPr>
      </w:pPr>
      <w:r w:rsidRPr="00F11F4E">
        <w:rPr>
          <w:rFonts w:ascii="Arial" w:hAnsi="Arial" w:cs="Arial"/>
        </w:rPr>
        <w:t xml:space="preserve">The </w:t>
      </w:r>
      <w:r w:rsidR="004955D5">
        <w:rPr>
          <w:rFonts w:ascii="Arial" w:hAnsi="Arial" w:cs="Arial"/>
        </w:rPr>
        <w:t>MH</w:t>
      </w:r>
      <w:r w:rsidRPr="00F11F4E">
        <w:rPr>
          <w:rFonts w:ascii="Arial" w:hAnsi="Arial" w:cs="Arial"/>
        </w:rPr>
        <w:t>CLG issued Investment Guidance in 201</w:t>
      </w:r>
      <w:r w:rsidR="004955D5">
        <w:rPr>
          <w:rFonts w:ascii="Arial" w:hAnsi="Arial" w:cs="Arial"/>
        </w:rPr>
        <w:t>8</w:t>
      </w:r>
      <w:r w:rsidRPr="00F11F4E">
        <w:rPr>
          <w:rFonts w:ascii="Arial" w:hAnsi="Arial" w:cs="Arial"/>
        </w:rPr>
        <w:t>, and this forms the structure of the Council’s policy below. These guidelines do not apply to either trust funds or pension funds which operate under a different regulatory regime.</w:t>
      </w:r>
      <w:r w:rsidR="007D455C" w:rsidRPr="00F11F4E">
        <w:rPr>
          <w:rFonts w:ascii="Arial" w:hAnsi="Arial" w:cs="Arial"/>
        </w:rPr>
        <w:br/>
      </w:r>
    </w:p>
    <w:p w:rsidR="007D455C" w:rsidRPr="00F11F4E" w:rsidRDefault="000E70A9" w:rsidP="00CE3C0B">
      <w:pPr>
        <w:numPr>
          <w:ilvl w:val="0"/>
          <w:numId w:val="9"/>
        </w:numPr>
        <w:ind w:left="426" w:hanging="426"/>
        <w:rPr>
          <w:rFonts w:ascii="Arial" w:hAnsi="Arial" w:cs="Arial"/>
        </w:rPr>
      </w:pPr>
      <w:r w:rsidRPr="00F11F4E">
        <w:rPr>
          <w:rFonts w:ascii="Arial" w:hAnsi="Arial" w:cs="Arial"/>
        </w:rPr>
        <w:t xml:space="preserve">The key intention of the Guidance is to maintain the current requirement for Councils to invest prudently, and that priority is given to security and liquidity before yield.  In order to facilitate this objective the guidance requires this Council to have regard to the CIPFA publication Treasury Management in the Public Services: Code of Practice and Cross-Sectoral Guidance Notes.  This Council adopted the Code on </w:t>
      </w:r>
      <w:r w:rsidRPr="005E2D73">
        <w:rPr>
          <w:rFonts w:ascii="Arial" w:hAnsi="Arial" w:cs="Arial"/>
        </w:rPr>
        <w:t>21</w:t>
      </w:r>
      <w:r w:rsidRPr="005E2D73">
        <w:rPr>
          <w:rFonts w:ascii="Arial" w:hAnsi="Arial" w:cs="Arial"/>
          <w:vertAlign w:val="superscript"/>
        </w:rPr>
        <w:t>st</w:t>
      </w:r>
      <w:r w:rsidRPr="005E2D73">
        <w:rPr>
          <w:rFonts w:ascii="Arial" w:hAnsi="Arial" w:cs="Arial"/>
        </w:rPr>
        <w:t xml:space="preserve"> March 2002</w:t>
      </w:r>
      <w:r w:rsidRPr="00F11F4E">
        <w:rPr>
          <w:rFonts w:ascii="Arial" w:hAnsi="Arial" w:cs="Arial"/>
        </w:rPr>
        <w:t xml:space="preserve"> and will apply its principles to all investment activity.  In accordance with the Code, the </w:t>
      </w:r>
      <w:r w:rsidR="004955D5">
        <w:rPr>
          <w:rFonts w:ascii="Arial" w:hAnsi="Arial" w:cs="Arial"/>
        </w:rPr>
        <w:t xml:space="preserve">Assistant </w:t>
      </w:r>
      <w:r w:rsidR="0059779C">
        <w:rPr>
          <w:rFonts w:ascii="Arial" w:hAnsi="Arial" w:cs="Arial"/>
        </w:rPr>
        <w:t xml:space="preserve">Director </w:t>
      </w:r>
      <w:r w:rsidR="004955D5">
        <w:rPr>
          <w:rFonts w:ascii="Arial" w:hAnsi="Arial" w:cs="Arial"/>
        </w:rPr>
        <w:t>R</w:t>
      </w:r>
      <w:r w:rsidR="0059779C">
        <w:rPr>
          <w:rFonts w:ascii="Arial" w:hAnsi="Arial" w:cs="Arial"/>
        </w:rPr>
        <w:t>esources</w:t>
      </w:r>
      <w:r w:rsidRPr="00F11F4E">
        <w:rPr>
          <w:rFonts w:ascii="Arial" w:hAnsi="Arial" w:cs="Arial"/>
        </w:rPr>
        <w:t xml:space="preserve"> has produced its Treasury Management Practices (TMPs).  This part, TMP 1(</w:t>
      </w:r>
      <w:r w:rsidR="004955D5">
        <w:rPr>
          <w:rFonts w:ascii="Arial" w:hAnsi="Arial" w:cs="Arial"/>
        </w:rPr>
        <w:t>1</w:t>
      </w:r>
      <w:r w:rsidRPr="00F11F4E">
        <w:rPr>
          <w:rFonts w:ascii="Arial" w:hAnsi="Arial" w:cs="Arial"/>
        </w:rPr>
        <w:t>), covering investment counterparty policy requires approval each year.</w:t>
      </w:r>
      <w:r w:rsidR="007D455C" w:rsidRPr="00F11F4E">
        <w:rPr>
          <w:rFonts w:ascii="Arial" w:hAnsi="Arial" w:cs="Arial"/>
        </w:rPr>
        <w:br/>
      </w:r>
    </w:p>
    <w:p w:rsidR="007D455C" w:rsidRPr="007D455C" w:rsidRDefault="000E70A9" w:rsidP="005804A2">
      <w:pPr>
        <w:rPr>
          <w:rFonts w:ascii="Arial" w:hAnsi="Arial" w:cs="Arial"/>
        </w:rPr>
      </w:pPr>
      <w:r w:rsidRPr="00F11F4E">
        <w:rPr>
          <w:rFonts w:ascii="Arial" w:hAnsi="Arial" w:cs="Arial"/>
          <w:b/>
        </w:rPr>
        <w:t>Annual Investment</w:t>
      </w:r>
      <w:r w:rsidRPr="007D455C">
        <w:rPr>
          <w:rFonts w:ascii="Arial" w:hAnsi="Arial" w:cs="Arial"/>
          <w:b/>
        </w:rPr>
        <w:t xml:space="preserve"> Strategy</w:t>
      </w:r>
      <w:r w:rsidRPr="007D455C">
        <w:rPr>
          <w:rFonts w:ascii="Arial" w:hAnsi="Arial" w:cs="Arial"/>
        </w:rPr>
        <w:t xml:space="preserve"> </w:t>
      </w:r>
      <w:r w:rsidR="007D455C" w:rsidRPr="007D455C">
        <w:rPr>
          <w:rFonts w:ascii="Arial" w:hAnsi="Arial" w:cs="Arial"/>
        </w:rPr>
        <w:br/>
      </w:r>
    </w:p>
    <w:p w:rsidR="000E70A9" w:rsidRPr="007D455C" w:rsidRDefault="000E70A9" w:rsidP="00CE3C0B">
      <w:pPr>
        <w:numPr>
          <w:ilvl w:val="0"/>
          <w:numId w:val="9"/>
        </w:numPr>
        <w:ind w:left="426" w:hanging="426"/>
        <w:rPr>
          <w:rFonts w:ascii="Arial" w:hAnsi="Arial" w:cs="Arial"/>
        </w:rPr>
      </w:pPr>
      <w:r w:rsidRPr="007D455C">
        <w:rPr>
          <w:rFonts w:ascii="Arial" w:hAnsi="Arial" w:cs="Arial"/>
        </w:rPr>
        <w:t>The key requirements of both the Code and the investment guidance are to set an annual investment strategy, as part of its annual treasury strategy for the following year</w:t>
      </w:r>
      <w:r w:rsidRPr="007D455C">
        <w:rPr>
          <w:rFonts w:ascii="Arial" w:hAnsi="Arial" w:cs="Arial"/>
          <w:i/>
        </w:rPr>
        <w:t>,</w:t>
      </w:r>
      <w:r w:rsidRPr="007D455C">
        <w:rPr>
          <w:rFonts w:ascii="Arial" w:hAnsi="Arial" w:cs="Arial"/>
        </w:rPr>
        <w:t xml:space="preserve"> covering the identification and approval of </w:t>
      </w:r>
      <w:r w:rsidR="004955D5">
        <w:rPr>
          <w:rFonts w:ascii="Arial" w:hAnsi="Arial" w:cs="Arial"/>
        </w:rPr>
        <w:t xml:space="preserve">the </w:t>
      </w:r>
      <w:r w:rsidRPr="007D455C">
        <w:rPr>
          <w:rFonts w:ascii="Arial" w:hAnsi="Arial" w:cs="Arial"/>
        </w:rPr>
        <w:t>following:</w:t>
      </w:r>
    </w:p>
    <w:p w:rsidR="00DD7A88" w:rsidRPr="007D455C" w:rsidRDefault="00DD7A88" w:rsidP="005804A2">
      <w:pPr>
        <w:rPr>
          <w:rFonts w:ascii="Arial" w:hAnsi="Arial" w:cs="Arial"/>
        </w:rPr>
      </w:pPr>
    </w:p>
    <w:p w:rsidR="000E70A9" w:rsidRPr="000E70A9" w:rsidRDefault="000E70A9" w:rsidP="00CE3C0B">
      <w:pPr>
        <w:numPr>
          <w:ilvl w:val="1"/>
          <w:numId w:val="7"/>
        </w:numPr>
        <w:rPr>
          <w:rFonts w:ascii="Arial" w:hAnsi="Arial" w:cs="Arial"/>
          <w:szCs w:val="22"/>
        </w:rPr>
      </w:pPr>
      <w:r w:rsidRPr="007D455C">
        <w:rPr>
          <w:rFonts w:ascii="Arial" w:hAnsi="Arial" w:cs="Arial"/>
          <w:szCs w:val="22"/>
        </w:rPr>
        <w:t>The strategy guidelines for</w:t>
      </w:r>
      <w:r w:rsidRPr="000E70A9">
        <w:rPr>
          <w:rFonts w:ascii="Arial" w:hAnsi="Arial" w:cs="Arial"/>
          <w:szCs w:val="22"/>
        </w:rPr>
        <w:t xml:space="preserve"> choosing and placing investments, particularly non-specified investments.</w:t>
      </w:r>
    </w:p>
    <w:p w:rsidR="000E70A9" w:rsidRPr="000E70A9" w:rsidRDefault="000E70A9" w:rsidP="005804A2">
      <w:pPr>
        <w:tabs>
          <w:tab w:val="num" w:pos="1080"/>
        </w:tabs>
        <w:ind w:left="454"/>
        <w:rPr>
          <w:rFonts w:ascii="Arial" w:hAnsi="Arial" w:cs="Arial"/>
          <w:szCs w:val="22"/>
        </w:rPr>
      </w:pPr>
    </w:p>
    <w:p w:rsidR="000E70A9" w:rsidRPr="000E70A9" w:rsidRDefault="000E70A9" w:rsidP="00CE3C0B">
      <w:pPr>
        <w:numPr>
          <w:ilvl w:val="1"/>
          <w:numId w:val="7"/>
        </w:numPr>
        <w:rPr>
          <w:rFonts w:ascii="Arial" w:hAnsi="Arial" w:cs="Arial"/>
          <w:szCs w:val="22"/>
        </w:rPr>
      </w:pPr>
      <w:r w:rsidRPr="000E70A9">
        <w:rPr>
          <w:rFonts w:ascii="Arial" w:hAnsi="Arial" w:cs="Arial"/>
          <w:szCs w:val="22"/>
        </w:rPr>
        <w:t>The principles to be used to determine the maximum periods for which funds can be committed.</w:t>
      </w:r>
    </w:p>
    <w:p w:rsidR="000E70A9" w:rsidRPr="000E70A9" w:rsidRDefault="000E70A9" w:rsidP="005804A2">
      <w:pPr>
        <w:rPr>
          <w:rFonts w:ascii="Arial" w:hAnsi="Arial" w:cs="Arial"/>
          <w:szCs w:val="22"/>
        </w:rPr>
      </w:pPr>
    </w:p>
    <w:p w:rsidR="000E70A9" w:rsidRPr="000E70A9" w:rsidRDefault="000E70A9" w:rsidP="00CE3C0B">
      <w:pPr>
        <w:numPr>
          <w:ilvl w:val="1"/>
          <w:numId w:val="7"/>
        </w:numPr>
        <w:rPr>
          <w:rFonts w:ascii="Arial" w:hAnsi="Arial" w:cs="Arial"/>
          <w:szCs w:val="22"/>
        </w:rPr>
      </w:pPr>
      <w:r w:rsidRPr="000E70A9">
        <w:rPr>
          <w:rFonts w:ascii="Arial" w:hAnsi="Arial" w:cs="Arial"/>
          <w:szCs w:val="22"/>
        </w:rPr>
        <w:t>Specified investments that the Council will use.  These are high security (i.e. high credit rating, although this is defined by the Council, and no guidelines are given), and high liquidity investments in sterling and with a maturity of no more than a year.</w:t>
      </w:r>
    </w:p>
    <w:p w:rsidR="000E70A9" w:rsidRPr="000E70A9" w:rsidRDefault="000E70A9" w:rsidP="005804A2">
      <w:pPr>
        <w:tabs>
          <w:tab w:val="num" w:pos="1080"/>
        </w:tabs>
        <w:ind w:left="454"/>
        <w:rPr>
          <w:rFonts w:ascii="Arial" w:hAnsi="Arial" w:cs="Arial"/>
          <w:szCs w:val="22"/>
        </w:rPr>
      </w:pPr>
    </w:p>
    <w:p w:rsidR="000E70A9" w:rsidRPr="000E70A9" w:rsidRDefault="000E70A9" w:rsidP="00CE3C0B">
      <w:pPr>
        <w:numPr>
          <w:ilvl w:val="1"/>
          <w:numId w:val="7"/>
        </w:numPr>
        <w:rPr>
          <w:rFonts w:ascii="Arial" w:hAnsi="Arial" w:cs="Arial"/>
          <w:szCs w:val="22"/>
        </w:rPr>
      </w:pPr>
      <w:r w:rsidRPr="000E70A9">
        <w:rPr>
          <w:rFonts w:ascii="Arial" w:hAnsi="Arial" w:cs="Arial"/>
          <w:szCs w:val="22"/>
        </w:rPr>
        <w:t>Non-specified investments, clarifying the greater risk implications, identifying the general types of investment that may be used and a limit to the overall amount of various categories that can be held at any time.</w:t>
      </w:r>
    </w:p>
    <w:p w:rsidR="000E70A9" w:rsidRPr="000E70A9" w:rsidRDefault="000E70A9" w:rsidP="005804A2">
      <w:pPr>
        <w:rPr>
          <w:rFonts w:ascii="Arial" w:hAnsi="Arial" w:cs="Arial"/>
          <w:szCs w:val="22"/>
        </w:rPr>
      </w:pPr>
    </w:p>
    <w:p w:rsidR="007D455C" w:rsidRPr="007D455C" w:rsidRDefault="000E70A9" w:rsidP="00CE3C0B">
      <w:pPr>
        <w:numPr>
          <w:ilvl w:val="0"/>
          <w:numId w:val="9"/>
        </w:numPr>
        <w:ind w:left="426" w:hanging="426"/>
        <w:rPr>
          <w:rFonts w:ascii="Arial" w:hAnsi="Arial" w:cs="Arial"/>
        </w:rPr>
      </w:pPr>
      <w:r w:rsidRPr="007D455C">
        <w:rPr>
          <w:rFonts w:ascii="Arial" w:hAnsi="Arial" w:cs="Arial"/>
        </w:rPr>
        <w:t>The investment policy proposed for the Council is:</w:t>
      </w:r>
      <w:r w:rsidR="007D455C" w:rsidRPr="007D455C">
        <w:rPr>
          <w:rFonts w:ascii="Arial" w:hAnsi="Arial" w:cs="Arial"/>
        </w:rPr>
        <w:br/>
      </w:r>
    </w:p>
    <w:p w:rsidR="000E70A9" w:rsidRPr="007D455C" w:rsidRDefault="000E70A9" w:rsidP="005804A2">
      <w:pPr>
        <w:rPr>
          <w:rFonts w:ascii="Arial" w:hAnsi="Arial" w:cs="Arial"/>
          <w:b/>
        </w:rPr>
      </w:pPr>
      <w:r w:rsidRPr="007D455C">
        <w:rPr>
          <w:rFonts w:ascii="Arial" w:hAnsi="Arial" w:cs="Arial"/>
          <w:b/>
        </w:rPr>
        <w:t>Strategy Guidelines</w:t>
      </w:r>
    </w:p>
    <w:p w:rsidR="003639E1" w:rsidRPr="007D455C" w:rsidRDefault="003639E1" w:rsidP="005804A2">
      <w:pPr>
        <w:rPr>
          <w:rFonts w:ascii="Arial" w:hAnsi="Arial" w:cs="Arial"/>
        </w:rPr>
      </w:pPr>
    </w:p>
    <w:p w:rsidR="000E70A9" w:rsidRPr="007D455C" w:rsidRDefault="000E70A9" w:rsidP="00CE3C0B">
      <w:pPr>
        <w:numPr>
          <w:ilvl w:val="0"/>
          <w:numId w:val="9"/>
        </w:numPr>
        <w:ind w:left="426" w:hanging="426"/>
        <w:rPr>
          <w:rFonts w:ascii="Arial" w:hAnsi="Arial" w:cs="Arial"/>
        </w:rPr>
      </w:pPr>
      <w:r w:rsidRPr="007D455C">
        <w:rPr>
          <w:rFonts w:ascii="Arial" w:hAnsi="Arial" w:cs="Arial"/>
        </w:rPr>
        <w:t>The main strategy guidelines are contained in the body of the treasury strategy statement.</w:t>
      </w:r>
    </w:p>
    <w:p w:rsidR="007D455C" w:rsidRDefault="007D455C" w:rsidP="005804A2">
      <w:pPr>
        <w:rPr>
          <w:rFonts w:ascii="Arial" w:hAnsi="Arial" w:cs="Arial"/>
        </w:rPr>
      </w:pPr>
    </w:p>
    <w:p w:rsidR="00C100E4" w:rsidRDefault="0023319C" w:rsidP="005804A2">
      <w:pPr>
        <w:rPr>
          <w:rFonts w:ascii="Arial" w:hAnsi="Arial" w:cs="Arial"/>
        </w:rPr>
      </w:pPr>
      <w:r>
        <w:rPr>
          <w:rFonts w:ascii="Arial" w:hAnsi="Arial" w:cs="Arial"/>
        </w:rPr>
        <w:br w:type="page"/>
      </w:r>
    </w:p>
    <w:p w:rsidR="000E70A9" w:rsidRPr="007D455C" w:rsidRDefault="000E70A9" w:rsidP="005804A2">
      <w:pPr>
        <w:rPr>
          <w:rFonts w:ascii="Arial" w:hAnsi="Arial" w:cs="Arial"/>
          <w:b/>
        </w:rPr>
      </w:pPr>
      <w:r w:rsidRPr="007D455C">
        <w:rPr>
          <w:rFonts w:ascii="Arial" w:hAnsi="Arial" w:cs="Arial"/>
          <w:b/>
        </w:rPr>
        <w:lastRenderedPageBreak/>
        <w:t>All Investments</w:t>
      </w:r>
    </w:p>
    <w:p w:rsidR="007D455C" w:rsidRPr="007D455C" w:rsidRDefault="007D455C" w:rsidP="005804A2">
      <w:pPr>
        <w:rPr>
          <w:rFonts w:ascii="Arial" w:hAnsi="Arial" w:cs="Arial"/>
        </w:rPr>
      </w:pPr>
    </w:p>
    <w:p w:rsidR="000E70A9" w:rsidRPr="00965902" w:rsidRDefault="000E70A9" w:rsidP="00CE3C0B">
      <w:pPr>
        <w:numPr>
          <w:ilvl w:val="0"/>
          <w:numId w:val="9"/>
        </w:numPr>
        <w:ind w:left="426" w:hanging="426"/>
        <w:rPr>
          <w:rFonts w:ascii="Arial" w:hAnsi="Arial" w:cs="Arial"/>
        </w:rPr>
      </w:pPr>
      <w:r w:rsidRPr="00965902">
        <w:rPr>
          <w:rFonts w:ascii="Arial" w:hAnsi="Arial" w:cs="Arial"/>
        </w:rPr>
        <w:t>The criteria for providing a pool of high quality investment counterparties (both Specified and Non-specified investments) is:</w:t>
      </w:r>
    </w:p>
    <w:p w:rsidR="000E70A9" w:rsidRPr="00965902" w:rsidRDefault="000E70A9" w:rsidP="005804A2"/>
    <w:p w:rsidR="008B0240" w:rsidRPr="00965902" w:rsidRDefault="008B0240" w:rsidP="00CE3C0B">
      <w:pPr>
        <w:numPr>
          <w:ilvl w:val="1"/>
          <w:numId w:val="10"/>
        </w:numPr>
        <w:ind w:left="908"/>
        <w:rPr>
          <w:rFonts w:ascii="Arial" w:hAnsi="Arial" w:cs="Arial"/>
          <w:iCs/>
          <w:szCs w:val="24"/>
        </w:rPr>
      </w:pPr>
      <w:r w:rsidRPr="00965902">
        <w:rPr>
          <w:rFonts w:ascii="Arial" w:hAnsi="Arial" w:cs="Arial"/>
          <w:iCs/>
          <w:szCs w:val="24"/>
        </w:rPr>
        <w:t>Banks 1 - good credit quality – the Council will only use banks which:</w:t>
      </w:r>
    </w:p>
    <w:p w:rsidR="008B0240" w:rsidRPr="00965902" w:rsidRDefault="008B0240" w:rsidP="005804A2">
      <w:pPr>
        <w:ind w:left="240"/>
        <w:rPr>
          <w:rFonts w:ascii="Arial" w:hAnsi="Arial" w:cs="Arial"/>
          <w:iCs/>
          <w:szCs w:val="24"/>
        </w:rPr>
      </w:pPr>
    </w:p>
    <w:p w:rsidR="008B0240" w:rsidRPr="00965902" w:rsidRDefault="008B0240" w:rsidP="00CE3C0B">
      <w:pPr>
        <w:pStyle w:val="BodyText2"/>
        <w:numPr>
          <w:ilvl w:val="2"/>
          <w:numId w:val="3"/>
        </w:numPr>
        <w:tabs>
          <w:tab w:val="clear" w:pos="2160"/>
        </w:tabs>
        <w:ind w:left="1418" w:hanging="284"/>
        <w:jc w:val="both"/>
        <w:rPr>
          <w:rFonts w:cs="Arial"/>
          <w:iCs/>
          <w:color w:val="auto"/>
          <w:sz w:val="24"/>
        </w:rPr>
      </w:pPr>
      <w:r w:rsidRPr="00965902">
        <w:rPr>
          <w:rFonts w:cs="Arial"/>
          <w:iCs/>
          <w:color w:val="auto"/>
          <w:sz w:val="24"/>
        </w:rPr>
        <w:t xml:space="preserve">are UK banks; and have, as a minimum, the following Fitch, Moody’s and Standard and </w:t>
      </w:r>
      <w:proofErr w:type="spellStart"/>
      <w:r w:rsidRPr="00965902">
        <w:rPr>
          <w:rFonts w:cs="Arial"/>
          <w:iCs/>
          <w:color w:val="auto"/>
          <w:sz w:val="24"/>
        </w:rPr>
        <w:t>Poors</w:t>
      </w:r>
      <w:proofErr w:type="spellEnd"/>
      <w:r w:rsidRPr="00965902">
        <w:rPr>
          <w:rFonts w:cs="Arial"/>
          <w:iCs/>
          <w:color w:val="auto"/>
          <w:sz w:val="24"/>
        </w:rPr>
        <w:t xml:space="preserve"> credit ratings (where rated):</w:t>
      </w:r>
    </w:p>
    <w:p w:rsidR="008B0240" w:rsidRPr="00965902" w:rsidRDefault="008B0240" w:rsidP="00CE3C0B">
      <w:pPr>
        <w:pStyle w:val="BodyText2"/>
        <w:numPr>
          <w:ilvl w:val="0"/>
          <w:numId w:val="12"/>
        </w:numPr>
        <w:jc w:val="both"/>
        <w:rPr>
          <w:rFonts w:cs="Arial"/>
          <w:iCs/>
          <w:color w:val="auto"/>
          <w:sz w:val="24"/>
        </w:rPr>
      </w:pPr>
      <w:r w:rsidRPr="00965902">
        <w:rPr>
          <w:rFonts w:cs="Arial"/>
          <w:iCs/>
          <w:color w:val="auto"/>
          <w:sz w:val="24"/>
        </w:rPr>
        <w:t>Fitch Short Term equivalent – F1</w:t>
      </w:r>
    </w:p>
    <w:p w:rsidR="008B0240" w:rsidRPr="00965902" w:rsidRDefault="008B0240" w:rsidP="00CE3C0B">
      <w:pPr>
        <w:pStyle w:val="BodyText2"/>
        <w:numPr>
          <w:ilvl w:val="0"/>
          <w:numId w:val="12"/>
        </w:numPr>
        <w:jc w:val="both"/>
        <w:rPr>
          <w:rFonts w:cs="Arial"/>
          <w:i/>
          <w:iCs/>
          <w:color w:val="auto"/>
          <w:sz w:val="24"/>
        </w:rPr>
      </w:pPr>
      <w:r w:rsidRPr="00965902">
        <w:rPr>
          <w:rFonts w:cs="Arial"/>
          <w:iCs/>
          <w:color w:val="auto"/>
          <w:sz w:val="24"/>
        </w:rPr>
        <w:t>Fitch Long term equivalent – A-</w:t>
      </w:r>
    </w:p>
    <w:p w:rsidR="008B0240" w:rsidRPr="00965902" w:rsidRDefault="008B0240" w:rsidP="00CE3C0B">
      <w:pPr>
        <w:numPr>
          <w:ilvl w:val="1"/>
          <w:numId w:val="10"/>
        </w:numPr>
        <w:ind w:left="908"/>
        <w:rPr>
          <w:rFonts w:ascii="Arial" w:hAnsi="Arial" w:cs="Arial"/>
          <w:iCs/>
          <w:szCs w:val="24"/>
        </w:rPr>
      </w:pPr>
      <w:r w:rsidRPr="00965902">
        <w:rPr>
          <w:rFonts w:ascii="Arial" w:hAnsi="Arial" w:cs="Arial"/>
          <w:iCs/>
          <w:szCs w:val="24"/>
        </w:rPr>
        <w:t xml:space="preserve">Banks 2 Non UK banks based on the following </w:t>
      </w:r>
      <w:r w:rsidRPr="00965902">
        <w:rPr>
          <w:rFonts w:ascii="Arial" w:hAnsi="Arial" w:cs="Arial"/>
          <w:iCs/>
          <w:szCs w:val="24"/>
          <w:u w:val="single"/>
        </w:rPr>
        <w:t>very high quality</w:t>
      </w:r>
      <w:r w:rsidRPr="00965902">
        <w:rPr>
          <w:rFonts w:ascii="Arial" w:hAnsi="Arial" w:cs="Arial"/>
          <w:iCs/>
          <w:szCs w:val="24"/>
        </w:rPr>
        <w:t xml:space="preserve"> criteria using a lowest common denominator approach and </w:t>
      </w:r>
      <w:r w:rsidRPr="00965902">
        <w:rPr>
          <w:rFonts w:ascii="Arial" w:hAnsi="Arial" w:cs="Arial"/>
          <w:iCs/>
          <w:szCs w:val="24"/>
          <w:u w:val="single"/>
        </w:rPr>
        <w:t>only</w:t>
      </w:r>
      <w:r w:rsidRPr="00965902">
        <w:rPr>
          <w:rFonts w:ascii="Arial" w:hAnsi="Arial" w:cs="Arial"/>
          <w:iCs/>
          <w:szCs w:val="24"/>
        </w:rPr>
        <w:t xml:space="preserve"> </w:t>
      </w:r>
      <w:r w:rsidR="00495BF7" w:rsidRPr="00965902">
        <w:rPr>
          <w:rFonts w:ascii="Arial" w:hAnsi="Arial" w:cs="Arial"/>
          <w:iCs/>
          <w:szCs w:val="24"/>
        </w:rPr>
        <w:t xml:space="preserve">where sovereign ratings are </w:t>
      </w:r>
      <w:r w:rsidRPr="00965902">
        <w:rPr>
          <w:rFonts w:ascii="Arial" w:hAnsi="Arial" w:cs="Arial"/>
          <w:iCs/>
          <w:szCs w:val="24"/>
        </w:rPr>
        <w:t>AAA.</w:t>
      </w:r>
    </w:p>
    <w:p w:rsidR="008B0240" w:rsidRPr="00965902" w:rsidRDefault="008B0240" w:rsidP="005804A2">
      <w:pPr>
        <w:ind w:left="908"/>
        <w:rPr>
          <w:rFonts w:ascii="Arial" w:hAnsi="Arial" w:cs="Arial"/>
          <w:iCs/>
          <w:szCs w:val="24"/>
        </w:rPr>
      </w:pPr>
    </w:p>
    <w:p w:rsidR="008B0240" w:rsidRPr="00965902" w:rsidRDefault="008B0240" w:rsidP="00CE3C0B">
      <w:pPr>
        <w:pStyle w:val="BodyText2"/>
        <w:numPr>
          <w:ilvl w:val="0"/>
          <w:numId w:val="11"/>
        </w:numPr>
        <w:jc w:val="both"/>
        <w:rPr>
          <w:rFonts w:cs="Arial"/>
          <w:iCs/>
          <w:color w:val="auto"/>
          <w:sz w:val="24"/>
        </w:rPr>
      </w:pPr>
      <w:r w:rsidRPr="00965902">
        <w:rPr>
          <w:rFonts w:cs="Arial"/>
          <w:iCs/>
          <w:color w:val="auto"/>
          <w:sz w:val="24"/>
        </w:rPr>
        <w:t>Fitch Short Term equivalent – F1+</w:t>
      </w:r>
    </w:p>
    <w:p w:rsidR="008B0240" w:rsidRPr="00965902" w:rsidRDefault="008B0240" w:rsidP="00CE3C0B">
      <w:pPr>
        <w:pStyle w:val="BodyText2"/>
        <w:numPr>
          <w:ilvl w:val="0"/>
          <w:numId w:val="11"/>
        </w:numPr>
        <w:jc w:val="both"/>
        <w:rPr>
          <w:rFonts w:cs="Arial"/>
          <w:iCs/>
          <w:color w:val="auto"/>
          <w:sz w:val="24"/>
        </w:rPr>
      </w:pPr>
      <w:r w:rsidRPr="00965902">
        <w:rPr>
          <w:rFonts w:cs="Arial"/>
          <w:iCs/>
          <w:color w:val="auto"/>
          <w:sz w:val="24"/>
        </w:rPr>
        <w:t>Fitch Long Term equivalent – AA-</w:t>
      </w:r>
    </w:p>
    <w:p w:rsidR="00495BF7" w:rsidRPr="00965902" w:rsidRDefault="00495BF7" w:rsidP="00495BF7">
      <w:pPr>
        <w:pStyle w:val="BodyText2"/>
        <w:ind w:left="2700"/>
        <w:jc w:val="both"/>
        <w:rPr>
          <w:rFonts w:cs="Arial"/>
          <w:iCs/>
          <w:color w:val="auto"/>
          <w:sz w:val="24"/>
        </w:rPr>
      </w:pPr>
    </w:p>
    <w:p w:rsidR="008B0240" w:rsidRPr="00965902" w:rsidRDefault="008B0240" w:rsidP="00CE3C0B">
      <w:pPr>
        <w:numPr>
          <w:ilvl w:val="1"/>
          <w:numId w:val="10"/>
        </w:numPr>
        <w:ind w:left="908"/>
        <w:rPr>
          <w:rFonts w:ascii="Arial" w:hAnsi="Arial" w:cs="Arial"/>
          <w:iCs/>
          <w:szCs w:val="24"/>
        </w:rPr>
      </w:pPr>
      <w:r w:rsidRPr="00965902">
        <w:rPr>
          <w:rFonts w:ascii="Arial" w:hAnsi="Arial" w:cs="Arial"/>
          <w:iCs/>
          <w:szCs w:val="24"/>
        </w:rPr>
        <w:t>Banks 3 – Part nationalised UK banks – Lloyds Bank Group and Royal Bank of Scotland. These banks can be included if they continue to be part nationalised or they meet the ratings in Banks 1 above.</w:t>
      </w:r>
      <w:r w:rsidRPr="00965902">
        <w:rPr>
          <w:rFonts w:ascii="Arial" w:hAnsi="Arial" w:cs="Arial"/>
          <w:iCs/>
          <w:szCs w:val="24"/>
        </w:rPr>
        <w:br/>
      </w:r>
    </w:p>
    <w:p w:rsidR="008B0240" w:rsidRPr="00965902" w:rsidRDefault="008B0240" w:rsidP="00CE3C0B">
      <w:pPr>
        <w:numPr>
          <w:ilvl w:val="1"/>
          <w:numId w:val="10"/>
        </w:numPr>
        <w:ind w:left="908"/>
        <w:rPr>
          <w:rFonts w:ascii="Arial" w:hAnsi="Arial" w:cs="Arial"/>
          <w:iCs/>
          <w:szCs w:val="24"/>
        </w:rPr>
      </w:pPr>
      <w:r w:rsidRPr="00965902">
        <w:rPr>
          <w:rFonts w:ascii="Arial" w:hAnsi="Arial" w:cs="Arial"/>
          <w:iCs/>
          <w:szCs w:val="24"/>
        </w:rPr>
        <w:t>Banks 4 – The Council’s own banker for transactional purposes if the bank falls below the above criteria, although in this case balances will be minimised in both monetary size and time.</w:t>
      </w:r>
      <w:r w:rsidRPr="00965902">
        <w:rPr>
          <w:rFonts w:ascii="Arial" w:hAnsi="Arial" w:cs="Arial"/>
          <w:iCs/>
          <w:szCs w:val="24"/>
        </w:rPr>
        <w:br/>
      </w:r>
    </w:p>
    <w:p w:rsidR="008B0240" w:rsidRPr="00965902" w:rsidRDefault="008B0240" w:rsidP="00CE3C0B">
      <w:pPr>
        <w:numPr>
          <w:ilvl w:val="1"/>
          <w:numId w:val="10"/>
        </w:numPr>
        <w:ind w:left="908"/>
        <w:rPr>
          <w:rFonts w:ascii="Arial" w:hAnsi="Arial" w:cs="Arial"/>
          <w:iCs/>
          <w:szCs w:val="24"/>
        </w:rPr>
      </w:pPr>
      <w:r w:rsidRPr="00965902">
        <w:rPr>
          <w:rFonts w:ascii="Arial" w:hAnsi="Arial" w:cs="Arial"/>
          <w:iCs/>
          <w:szCs w:val="24"/>
        </w:rPr>
        <w:t>Building societies  The Council will use all societies which:</w:t>
      </w:r>
      <w:r w:rsidRPr="00965902">
        <w:rPr>
          <w:rFonts w:ascii="Arial" w:hAnsi="Arial" w:cs="Arial"/>
          <w:iCs/>
          <w:szCs w:val="24"/>
        </w:rPr>
        <w:br/>
      </w:r>
    </w:p>
    <w:p w:rsidR="008B0240" w:rsidRPr="00965902" w:rsidRDefault="008B0240" w:rsidP="00CE3C0B">
      <w:pPr>
        <w:pStyle w:val="BodyText2"/>
        <w:numPr>
          <w:ilvl w:val="0"/>
          <w:numId w:val="4"/>
        </w:numPr>
        <w:tabs>
          <w:tab w:val="num" w:pos="1418"/>
        </w:tabs>
        <w:ind w:left="1418" w:hanging="425"/>
        <w:jc w:val="both"/>
        <w:rPr>
          <w:rFonts w:cs="Arial"/>
          <w:iCs/>
          <w:color w:val="auto"/>
          <w:sz w:val="24"/>
        </w:rPr>
      </w:pPr>
      <w:r w:rsidRPr="00965902">
        <w:rPr>
          <w:rFonts w:cs="Arial"/>
          <w:iCs/>
          <w:color w:val="auto"/>
          <w:sz w:val="24"/>
        </w:rPr>
        <w:t>meet the ratings for banks outlined above and have assets in excess of £1,000m</w:t>
      </w:r>
    </w:p>
    <w:p w:rsidR="008B0240" w:rsidRPr="00965902" w:rsidRDefault="0029601A" w:rsidP="00CE3C0B">
      <w:pPr>
        <w:numPr>
          <w:ilvl w:val="1"/>
          <w:numId w:val="10"/>
        </w:numPr>
        <w:ind w:left="908"/>
        <w:rPr>
          <w:rFonts w:ascii="Arial" w:hAnsi="Arial" w:cs="Arial"/>
          <w:iCs/>
          <w:szCs w:val="24"/>
        </w:rPr>
      </w:pPr>
      <w:r w:rsidRPr="00965902">
        <w:rPr>
          <w:rFonts w:ascii="Arial" w:hAnsi="Arial" w:cs="Arial"/>
          <w:iCs/>
          <w:szCs w:val="24"/>
        </w:rPr>
        <w:t>Money Market Funds</w:t>
      </w:r>
      <w:r w:rsidR="00917347" w:rsidRPr="00965902">
        <w:rPr>
          <w:rFonts w:ascii="Arial" w:hAnsi="Arial" w:cs="Arial"/>
          <w:iCs/>
          <w:szCs w:val="24"/>
        </w:rPr>
        <w:t xml:space="preserve"> (CNAV, LVNAV &amp; VNAV)</w:t>
      </w:r>
      <w:r w:rsidRPr="00965902">
        <w:rPr>
          <w:rFonts w:ascii="Arial" w:hAnsi="Arial" w:cs="Arial"/>
          <w:iCs/>
          <w:szCs w:val="24"/>
        </w:rPr>
        <w:t xml:space="preserve">  </w:t>
      </w:r>
      <w:r w:rsidR="008B0240" w:rsidRPr="00965902">
        <w:rPr>
          <w:rFonts w:ascii="Arial" w:hAnsi="Arial" w:cs="Arial"/>
          <w:iCs/>
          <w:szCs w:val="24"/>
        </w:rPr>
        <w:t xml:space="preserve"> AAA</w:t>
      </w:r>
    </w:p>
    <w:p w:rsidR="008B0240" w:rsidRPr="00965902" w:rsidRDefault="008B0240" w:rsidP="005804A2">
      <w:pPr>
        <w:ind w:left="454"/>
        <w:rPr>
          <w:rFonts w:ascii="Arial" w:hAnsi="Arial" w:cs="Arial"/>
          <w:iCs/>
          <w:szCs w:val="24"/>
        </w:rPr>
      </w:pPr>
    </w:p>
    <w:p w:rsidR="008B0240" w:rsidRPr="00965902" w:rsidRDefault="002C26D7" w:rsidP="00CE3C0B">
      <w:pPr>
        <w:numPr>
          <w:ilvl w:val="1"/>
          <w:numId w:val="10"/>
        </w:numPr>
        <w:ind w:left="908"/>
        <w:rPr>
          <w:rFonts w:ascii="Arial" w:hAnsi="Arial" w:cs="Arial"/>
          <w:iCs/>
          <w:szCs w:val="24"/>
        </w:rPr>
      </w:pPr>
      <w:proofErr w:type="spellStart"/>
      <w:r w:rsidRPr="00965902">
        <w:rPr>
          <w:rFonts w:ascii="Arial" w:hAnsi="Arial" w:cs="Arial"/>
          <w:iCs/>
          <w:szCs w:val="24"/>
        </w:rPr>
        <w:t>Ultra Short</w:t>
      </w:r>
      <w:proofErr w:type="spellEnd"/>
      <w:r w:rsidRPr="00965902">
        <w:rPr>
          <w:rFonts w:ascii="Arial" w:hAnsi="Arial" w:cs="Arial"/>
          <w:iCs/>
          <w:szCs w:val="24"/>
        </w:rPr>
        <w:t xml:space="preserve"> Dated Bond Funds</w:t>
      </w:r>
      <w:r w:rsidR="0029601A" w:rsidRPr="00965902">
        <w:rPr>
          <w:rFonts w:ascii="Arial" w:hAnsi="Arial" w:cs="Arial"/>
          <w:iCs/>
          <w:szCs w:val="24"/>
        </w:rPr>
        <w:t xml:space="preserve">  </w:t>
      </w:r>
      <w:r w:rsidR="008B0240" w:rsidRPr="00965902">
        <w:rPr>
          <w:rFonts w:ascii="Arial" w:hAnsi="Arial" w:cs="Arial"/>
          <w:iCs/>
          <w:szCs w:val="24"/>
        </w:rPr>
        <w:t xml:space="preserve"> AAA</w:t>
      </w:r>
      <w:r w:rsidR="008B0240" w:rsidRPr="00965902">
        <w:rPr>
          <w:rFonts w:ascii="Arial" w:hAnsi="Arial" w:cs="Arial"/>
          <w:iCs/>
          <w:szCs w:val="24"/>
        </w:rPr>
        <w:br/>
      </w:r>
    </w:p>
    <w:p w:rsidR="008B0240" w:rsidRPr="00965902" w:rsidRDefault="008B0240" w:rsidP="00CE3C0B">
      <w:pPr>
        <w:numPr>
          <w:ilvl w:val="1"/>
          <w:numId w:val="10"/>
        </w:numPr>
        <w:ind w:left="908"/>
        <w:rPr>
          <w:rFonts w:ascii="Arial" w:hAnsi="Arial" w:cs="Arial"/>
          <w:iCs/>
          <w:szCs w:val="24"/>
        </w:rPr>
      </w:pPr>
      <w:r w:rsidRPr="00965902">
        <w:rPr>
          <w:rFonts w:ascii="Arial" w:hAnsi="Arial" w:cs="Arial"/>
          <w:iCs/>
          <w:szCs w:val="24"/>
        </w:rPr>
        <w:t>UK Government (including gilts Treasury Bills and the Debt Management Office)</w:t>
      </w:r>
      <w:r w:rsidRPr="00965902">
        <w:rPr>
          <w:rFonts w:ascii="Arial" w:hAnsi="Arial" w:cs="Arial"/>
          <w:iCs/>
          <w:szCs w:val="24"/>
        </w:rPr>
        <w:br/>
      </w:r>
    </w:p>
    <w:p w:rsidR="008B0240" w:rsidRPr="00965902" w:rsidRDefault="008B0240" w:rsidP="00CE3C0B">
      <w:pPr>
        <w:numPr>
          <w:ilvl w:val="1"/>
          <w:numId w:val="10"/>
        </w:numPr>
        <w:ind w:left="908"/>
        <w:rPr>
          <w:rFonts w:ascii="Arial" w:hAnsi="Arial" w:cs="Arial"/>
          <w:iCs/>
          <w:szCs w:val="24"/>
        </w:rPr>
      </w:pPr>
      <w:r w:rsidRPr="00965902">
        <w:rPr>
          <w:rFonts w:ascii="Arial" w:hAnsi="Arial" w:cs="Arial"/>
          <w:iCs/>
          <w:szCs w:val="24"/>
        </w:rPr>
        <w:t xml:space="preserve">Local authorities, parish councils </w:t>
      </w:r>
      <w:proofErr w:type="spellStart"/>
      <w:r w:rsidRPr="00965902">
        <w:rPr>
          <w:rFonts w:ascii="Arial" w:hAnsi="Arial" w:cs="Arial"/>
          <w:iCs/>
          <w:szCs w:val="24"/>
        </w:rPr>
        <w:t>etc</w:t>
      </w:r>
      <w:proofErr w:type="spellEnd"/>
      <w:r w:rsidRPr="00965902">
        <w:rPr>
          <w:rFonts w:ascii="Arial" w:hAnsi="Arial" w:cs="Arial"/>
          <w:iCs/>
          <w:szCs w:val="24"/>
        </w:rPr>
        <w:br/>
      </w:r>
    </w:p>
    <w:p w:rsidR="008B0240" w:rsidRPr="00965902" w:rsidRDefault="008B0240" w:rsidP="00CE3C0B">
      <w:pPr>
        <w:numPr>
          <w:ilvl w:val="1"/>
          <w:numId w:val="10"/>
        </w:numPr>
        <w:ind w:left="908"/>
        <w:rPr>
          <w:rFonts w:ascii="Arial" w:hAnsi="Arial" w:cs="Arial"/>
          <w:iCs/>
          <w:szCs w:val="24"/>
        </w:rPr>
      </w:pPr>
      <w:r w:rsidRPr="00965902">
        <w:rPr>
          <w:rFonts w:ascii="Arial" w:hAnsi="Arial" w:cs="Arial"/>
          <w:iCs/>
          <w:szCs w:val="24"/>
        </w:rPr>
        <w:t>Supranational institutions</w:t>
      </w:r>
    </w:p>
    <w:p w:rsidR="00FC5F49" w:rsidRPr="00965902" w:rsidRDefault="00FC5F49" w:rsidP="005804A2">
      <w:pPr>
        <w:ind w:left="596"/>
        <w:rPr>
          <w:rFonts w:ascii="Arial" w:hAnsi="Arial" w:cs="Arial"/>
          <w:iCs/>
          <w:szCs w:val="24"/>
        </w:rPr>
      </w:pPr>
    </w:p>
    <w:p w:rsidR="00EB407E" w:rsidRPr="00965902" w:rsidRDefault="00EB407E" w:rsidP="00CE3C0B">
      <w:pPr>
        <w:numPr>
          <w:ilvl w:val="1"/>
          <w:numId w:val="10"/>
        </w:numPr>
        <w:ind w:left="908"/>
        <w:rPr>
          <w:rFonts w:ascii="Arial" w:hAnsi="Arial" w:cs="Arial"/>
          <w:iCs/>
          <w:szCs w:val="24"/>
        </w:rPr>
      </w:pPr>
      <w:r w:rsidRPr="00965902">
        <w:rPr>
          <w:rFonts w:ascii="Arial" w:hAnsi="Arial" w:cs="Arial"/>
          <w:iCs/>
          <w:szCs w:val="24"/>
        </w:rPr>
        <w:t>Property Funds ,Corporate Bond Funds and Asset Backed Investment Products</w:t>
      </w:r>
    </w:p>
    <w:p w:rsidR="00FC5F49" w:rsidRPr="00965902" w:rsidRDefault="00FC5F49" w:rsidP="005804A2">
      <w:pPr>
        <w:ind w:left="908"/>
        <w:rPr>
          <w:rFonts w:ascii="Arial" w:hAnsi="Arial" w:cs="Arial"/>
          <w:iCs/>
          <w:szCs w:val="24"/>
        </w:rPr>
      </w:pPr>
    </w:p>
    <w:p w:rsidR="008B0240" w:rsidRPr="00965902" w:rsidRDefault="008B0240" w:rsidP="005804A2">
      <w:pPr>
        <w:ind w:left="240"/>
        <w:rPr>
          <w:rFonts w:ascii="Arial" w:hAnsi="Arial" w:cs="Arial"/>
          <w:iCs/>
          <w:szCs w:val="24"/>
        </w:rPr>
      </w:pPr>
    </w:p>
    <w:p w:rsidR="008B0240" w:rsidRPr="00965902" w:rsidRDefault="00FC5F49" w:rsidP="00CE3C0B">
      <w:pPr>
        <w:numPr>
          <w:ilvl w:val="0"/>
          <w:numId w:val="9"/>
        </w:numPr>
        <w:ind w:left="426" w:hanging="426"/>
        <w:rPr>
          <w:rFonts w:ascii="Arial" w:hAnsi="Arial" w:cs="Arial"/>
        </w:rPr>
      </w:pPr>
      <w:r w:rsidRPr="00965902">
        <w:rPr>
          <w:rFonts w:ascii="Arial" w:hAnsi="Arial" w:cs="Arial"/>
        </w:rPr>
        <w:t>A limit of £50</w:t>
      </w:r>
      <w:r w:rsidR="008B0240" w:rsidRPr="00965902">
        <w:rPr>
          <w:rFonts w:ascii="Arial" w:hAnsi="Arial" w:cs="Arial"/>
        </w:rPr>
        <w:t>M will be applied to the use of Non-Specified investments.</w:t>
      </w:r>
    </w:p>
    <w:p w:rsidR="008B0240" w:rsidRDefault="0023319C" w:rsidP="005804A2">
      <w:pPr>
        <w:pStyle w:val="BodyText"/>
        <w:overflowPunct/>
        <w:autoSpaceDE/>
        <w:autoSpaceDN/>
        <w:adjustRightInd/>
        <w:spacing w:after="0"/>
        <w:ind w:left="720"/>
        <w:jc w:val="both"/>
        <w:textAlignment w:val="auto"/>
        <w:rPr>
          <w:rFonts w:ascii="Arial" w:hAnsi="Arial" w:cs="Arial"/>
          <w:i/>
          <w:iCs/>
          <w:szCs w:val="24"/>
        </w:rPr>
      </w:pPr>
      <w:r>
        <w:rPr>
          <w:rFonts w:ascii="Arial" w:hAnsi="Arial" w:cs="Arial"/>
          <w:i/>
          <w:iCs/>
          <w:szCs w:val="24"/>
        </w:rPr>
        <w:br w:type="page"/>
      </w:r>
    </w:p>
    <w:p w:rsidR="008B0240" w:rsidRDefault="008B0240" w:rsidP="005804A2">
      <w:pPr>
        <w:rPr>
          <w:rFonts w:ascii="Arial" w:hAnsi="Arial" w:cs="Arial"/>
          <w:b/>
          <w:bCs/>
          <w:szCs w:val="22"/>
        </w:rPr>
      </w:pPr>
      <w:r w:rsidRPr="000E70A9">
        <w:rPr>
          <w:rFonts w:ascii="Arial" w:hAnsi="Arial" w:cs="Arial"/>
          <w:b/>
          <w:bCs/>
          <w:szCs w:val="22"/>
        </w:rPr>
        <w:lastRenderedPageBreak/>
        <w:t>Specified Investments</w:t>
      </w:r>
    </w:p>
    <w:p w:rsidR="001F551D" w:rsidRPr="000E70A9" w:rsidRDefault="001F551D" w:rsidP="005804A2">
      <w:pPr>
        <w:rPr>
          <w:rFonts w:ascii="Arial" w:hAnsi="Arial" w:cs="Arial"/>
          <w:b/>
          <w:bCs/>
          <w:szCs w:val="22"/>
        </w:rPr>
      </w:pPr>
    </w:p>
    <w:p w:rsidR="008B0240" w:rsidRDefault="008B0240" w:rsidP="00CE3C0B">
      <w:pPr>
        <w:numPr>
          <w:ilvl w:val="0"/>
          <w:numId w:val="9"/>
        </w:numPr>
        <w:ind w:left="426" w:hanging="426"/>
        <w:rPr>
          <w:rFonts w:ascii="Arial" w:hAnsi="Arial" w:cs="Arial"/>
          <w:szCs w:val="22"/>
        </w:rPr>
      </w:pPr>
      <w:r w:rsidRPr="000E70A9">
        <w:rPr>
          <w:rFonts w:ascii="Arial" w:hAnsi="Arial" w:cs="Arial"/>
          <w:szCs w:val="22"/>
        </w:rPr>
        <w:t>These investments are sterling investments of not more than one-year maturity, or those which could be for a longer period but where the Council has the right to be repaid within 12 months if it wishes.  These are considered low risk assets where the possibility of loss of principal or investment income is small.  These would include sterling investments which would not be defined as capital expenditure with:</w:t>
      </w:r>
    </w:p>
    <w:p w:rsidR="001B354B" w:rsidRPr="000E70A9" w:rsidRDefault="001B354B" w:rsidP="001B354B">
      <w:pPr>
        <w:ind w:left="426"/>
        <w:rPr>
          <w:rFonts w:ascii="Arial" w:hAnsi="Arial" w:cs="Arial"/>
          <w:szCs w:val="22"/>
        </w:rPr>
      </w:pPr>
    </w:p>
    <w:p w:rsidR="008B0240" w:rsidRDefault="008B0240" w:rsidP="00CE3C0B">
      <w:pPr>
        <w:numPr>
          <w:ilvl w:val="1"/>
          <w:numId w:val="8"/>
        </w:numPr>
        <w:rPr>
          <w:rFonts w:ascii="Arial" w:hAnsi="Arial" w:cs="Arial"/>
          <w:szCs w:val="22"/>
        </w:rPr>
      </w:pPr>
      <w:r w:rsidRPr="000E70A9">
        <w:rPr>
          <w:rFonts w:ascii="Arial" w:hAnsi="Arial" w:cs="Arial"/>
          <w:szCs w:val="22"/>
        </w:rPr>
        <w:t>The UK Government (such as the Debt Management Account deposit facility, UK Treasury Bills or a Gilt with less than one year to maturity).</w:t>
      </w:r>
    </w:p>
    <w:p w:rsidR="008B0240" w:rsidRDefault="008B0240" w:rsidP="00CE3C0B">
      <w:pPr>
        <w:numPr>
          <w:ilvl w:val="1"/>
          <w:numId w:val="8"/>
        </w:numPr>
        <w:rPr>
          <w:rFonts w:ascii="Arial" w:hAnsi="Arial" w:cs="Arial"/>
          <w:szCs w:val="22"/>
        </w:rPr>
      </w:pPr>
      <w:r w:rsidRPr="000E70A9">
        <w:rPr>
          <w:rFonts w:ascii="Arial" w:hAnsi="Arial" w:cs="Arial"/>
          <w:szCs w:val="22"/>
        </w:rPr>
        <w:t>Supranational bonds of less than one year’s duration.</w:t>
      </w:r>
    </w:p>
    <w:p w:rsidR="008B0240" w:rsidRDefault="008B0240" w:rsidP="00CE3C0B">
      <w:pPr>
        <w:numPr>
          <w:ilvl w:val="1"/>
          <w:numId w:val="8"/>
        </w:numPr>
        <w:rPr>
          <w:rFonts w:ascii="Arial" w:hAnsi="Arial" w:cs="Arial"/>
          <w:szCs w:val="22"/>
        </w:rPr>
      </w:pPr>
      <w:r w:rsidRPr="000E70A9">
        <w:rPr>
          <w:rFonts w:ascii="Arial" w:hAnsi="Arial" w:cs="Arial"/>
          <w:szCs w:val="22"/>
        </w:rPr>
        <w:t>A local authority,</w:t>
      </w:r>
      <w:r w:rsidR="001B354B">
        <w:rPr>
          <w:rFonts w:ascii="Arial" w:hAnsi="Arial" w:cs="Arial"/>
          <w:szCs w:val="22"/>
        </w:rPr>
        <w:t xml:space="preserve"> housing association,</w:t>
      </w:r>
      <w:r w:rsidRPr="000E70A9">
        <w:rPr>
          <w:rFonts w:ascii="Arial" w:hAnsi="Arial" w:cs="Arial"/>
          <w:szCs w:val="22"/>
        </w:rPr>
        <w:t xml:space="preserve"> parish council or community council.</w:t>
      </w:r>
    </w:p>
    <w:p w:rsidR="008B0240" w:rsidRDefault="008B0240" w:rsidP="00CE3C0B">
      <w:pPr>
        <w:numPr>
          <w:ilvl w:val="1"/>
          <w:numId w:val="8"/>
        </w:numPr>
        <w:rPr>
          <w:rFonts w:ascii="Arial" w:hAnsi="Arial" w:cs="Arial"/>
          <w:i/>
          <w:iCs/>
          <w:szCs w:val="22"/>
        </w:rPr>
      </w:pPr>
      <w:r w:rsidRPr="000E70A9">
        <w:rPr>
          <w:rFonts w:ascii="Arial" w:hAnsi="Arial" w:cs="Arial"/>
          <w:szCs w:val="22"/>
        </w:rPr>
        <w:t>Pooled investment vehicles (such as money market funds) that have been awarded a high credit rating by a cred</w:t>
      </w:r>
      <w:r w:rsidR="0023319C">
        <w:rPr>
          <w:rFonts w:ascii="Arial" w:hAnsi="Arial" w:cs="Arial"/>
          <w:szCs w:val="22"/>
        </w:rPr>
        <w:t xml:space="preserve">it rating agency. For </w:t>
      </w:r>
      <w:r w:rsidR="0023319C" w:rsidRPr="002C3445">
        <w:rPr>
          <w:rFonts w:ascii="Arial" w:hAnsi="Arial" w:cs="Arial"/>
          <w:szCs w:val="22"/>
        </w:rPr>
        <w:t>category f.</w:t>
      </w:r>
      <w:r w:rsidR="0023319C">
        <w:rPr>
          <w:rFonts w:ascii="Arial" w:hAnsi="Arial" w:cs="Arial"/>
          <w:szCs w:val="22"/>
        </w:rPr>
        <w:t xml:space="preserve"> above,</w:t>
      </w:r>
      <w:r w:rsidRPr="000E70A9">
        <w:rPr>
          <w:rFonts w:ascii="Arial" w:hAnsi="Arial" w:cs="Arial"/>
          <w:szCs w:val="22"/>
        </w:rPr>
        <w:t xml:space="preserve"> this covers pooled investment vehicles, such as money market funds, rated AAA by </w:t>
      </w:r>
      <w:proofErr w:type="gramStart"/>
      <w:r w:rsidRPr="000E70A9">
        <w:rPr>
          <w:rFonts w:ascii="Arial" w:hAnsi="Arial" w:cs="Arial"/>
          <w:szCs w:val="22"/>
        </w:rPr>
        <w:t>Standard</w:t>
      </w:r>
      <w:proofErr w:type="gramEnd"/>
      <w:r w:rsidRPr="000E70A9">
        <w:rPr>
          <w:rFonts w:ascii="Arial" w:hAnsi="Arial" w:cs="Arial"/>
          <w:szCs w:val="22"/>
        </w:rPr>
        <w:t xml:space="preserve"> and Poor’s, Moody’s </w:t>
      </w:r>
      <w:r w:rsidR="001B354B">
        <w:rPr>
          <w:rFonts w:ascii="Arial" w:hAnsi="Arial" w:cs="Arial"/>
          <w:szCs w:val="22"/>
        </w:rPr>
        <w:t>and/</w:t>
      </w:r>
      <w:r w:rsidRPr="000E70A9">
        <w:rPr>
          <w:rFonts w:ascii="Arial" w:hAnsi="Arial" w:cs="Arial"/>
          <w:szCs w:val="22"/>
        </w:rPr>
        <w:t>or Fitch rating agencies</w:t>
      </w:r>
      <w:r w:rsidRPr="000E70A9">
        <w:rPr>
          <w:rFonts w:ascii="Arial" w:hAnsi="Arial" w:cs="Arial"/>
          <w:i/>
          <w:iCs/>
          <w:szCs w:val="22"/>
        </w:rPr>
        <w:t>.</w:t>
      </w:r>
    </w:p>
    <w:p w:rsidR="008B0240" w:rsidRPr="000E70A9" w:rsidRDefault="008B0240" w:rsidP="00CE3C0B">
      <w:pPr>
        <w:numPr>
          <w:ilvl w:val="1"/>
          <w:numId w:val="8"/>
        </w:numPr>
        <w:rPr>
          <w:rFonts w:ascii="Arial" w:hAnsi="Arial" w:cs="Arial"/>
          <w:i/>
          <w:iCs/>
          <w:szCs w:val="22"/>
        </w:rPr>
      </w:pPr>
      <w:r w:rsidRPr="000E70A9">
        <w:rPr>
          <w:rFonts w:ascii="Arial" w:hAnsi="Arial" w:cs="Arial"/>
          <w:szCs w:val="22"/>
        </w:rPr>
        <w:t xml:space="preserve">A body that is considered of a high credit quality (such as </w:t>
      </w:r>
      <w:r>
        <w:rPr>
          <w:rFonts w:ascii="Arial" w:hAnsi="Arial" w:cs="Arial"/>
          <w:szCs w:val="22"/>
        </w:rPr>
        <w:t xml:space="preserve">a bank or building society).  </w:t>
      </w:r>
      <w:r w:rsidR="008C5BFC" w:rsidRPr="002C3445">
        <w:rPr>
          <w:rFonts w:ascii="Arial" w:hAnsi="Arial" w:cs="Arial"/>
          <w:szCs w:val="22"/>
        </w:rPr>
        <w:t xml:space="preserve">For category </w:t>
      </w:r>
      <w:proofErr w:type="gramStart"/>
      <w:r w:rsidR="008C5BFC" w:rsidRPr="002C3445">
        <w:rPr>
          <w:rFonts w:ascii="Arial" w:hAnsi="Arial" w:cs="Arial"/>
          <w:szCs w:val="22"/>
        </w:rPr>
        <w:t>a and</w:t>
      </w:r>
      <w:proofErr w:type="gramEnd"/>
      <w:r w:rsidR="008C5BFC" w:rsidRPr="002C3445">
        <w:rPr>
          <w:rFonts w:ascii="Arial" w:hAnsi="Arial" w:cs="Arial"/>
          <w:szCs w:val="22"/>
        </w:rPr>
        <w:t xml:space="preserve"> b</w:t>
      </w:r>
      <w:r w:rsidRPr="000E70A9">
        <w:rPr>
          <w:rFonts w:ascii="Arial" w:hAnsi="Arial" w:cs="Arial"/>
          <w:szCs w:val="22"/>
        </w:rPr>
        <w:t xml:space="preserve"> this covers bodies with a minimum short term rating of F1 (or the equivalent) as rated by Standard and Poor’s, Moody’s </w:t>
      </w:r>
      <w:r w:rsidR="00F9114D">
        <w:rPr>
          <w:rFonts w:ascii="Arial" w:hAnsi="Arial" w:cs="Arial"/>
          <w:szCs w:val="22"/>
        </w:rPr>
        <w:t>and/</w:t>
      </w:r>
      <w:r w:rsidRPr="000E70A9">
        <w:rPr>
          <w:rFonts w:ascii="Arial" w:hAnsi="Arial" w:cs="Arial"/>
          <w:szCs w:val="22"/>
        </w:rPr>
        <w:t xml:space="preserve">or Fitch rating agencies. </w:t>
      </w:r>
    </w:p>
    <w:p w:rsidR="008B0240" w:rsidRPr="000E70A9" w:rsidRDefault="008B0240" w:rsidP="005804A2">
      <w:pPr>
        <w:ind w:left="454"/>
        <w:rPr>
          <w:rFonts w:ascii="Arial" w:hAnsi="Arial" w:cs="Arial"/>
          <w:i/>
          <w:iCs/>
          <w:szCs w:val="22"/>
        </w:rPr>
      </w:pPr>
      <w:r w:rsidRPr="000E70A9">
        <w:rPr>
          <w:rFonts w:ascii="Arial" w:hAnsi="Arial" w:cs="Arial"/>
          <w:szCs w:val="22"/>
        </w:rPr>
        <w:t xml:space="preserve"> </w:t>
      </w:r>
    </w:p>
    <w:p w:rsidR="008B0240" w:rsidRDefault="008B0240" w:rsidP="00CE3C0B">
      <w:pPr>
        <w:numPr>
          <w:ilvl w:val="0"/>
          <w:numId w:val="9"/>
        </w:numPr>
        <w:ind w:left="426" w:hanging="426"/>
        <w:rPr>
          <w:rFonts w:ascii="Arial" w:hAnsi="Arial" w:cs="Arial"/>
          <w:szCs w:val="22"/>
        </w:rPr>
      </w:pPr>
      <w:r w:rsidRPr="000E70A9">
        <w:rPr>
          <w:rFonts w:ascii="Arial" w:hAnsi="Arial" w:cs="Arial"/>
          <w:szCs w:val="22"/>
        </w:rPr>
        <w:t>Within these bodies, and in accordance with the Code, the Council has set additional criteria to set the time and amount of monies which w</w:t>
      </w:r>
      <w:r w:rsidR="00D92E3B">
        <w:rPr>
          <w:rFonts w:ascii="Arial" w:hAnsi="Arial" w:cs="Arial"/>
          <w:szCs w:val="22"/>
        </w:rPr>
        <w:t>ill be invested in these bodies</w:t>
      </w:r>
      <w:r w:rsidR="00F9114D">
        <w:rPr>
          <w:rFonts w:ascii="Arial" w:hAnsi="Arial" w:cs="Arial"/>
          <w:szCs w:val="22"/>
        </w:rPr>
        <w:t xml:space="preserve">. </w:t>
      </w:r>
      <w:r w:rsidR="00F9114D" w:rsidRPr="002C3445">
        <w:rPr>
          <w:rFonts w:ascii="Arial" w:hAnsi="Arial" w:cs="Arial"/>
          <w:szCs w:val="22"/>
        </w:rPr>
        <w:t>These criteria are</w:t>
      </w:r>
      <w:r w:rsidR="002C3445" w:rsidRPr="002C3445">
        <w:rPr>
          <w:rFonts w:ascii="Arial" w:hAnsi="Arial" w:cs="Arial"/>
          <w:szCs w:val="22"/>
        </w:rPr>
        <w:t>:</w:t>
      </w:r>
    </w:p>
    <w:p w:rsidR="00F9114D" w:rsidRPr="000E70A9" w:rsidRDefault="007030FE" w:rsidP="007030FE">
      <w:pPr>
        <w:ind w:left="426"/>
        <w:rPr>
          <w:rFonts w:ascii="Arial" w:hAnsi="Arial" w:cs="Arial"/>
          <w:szCs w:val="22"/>
        </w:rPr>
      </w:pPr>
      <w:r>
        <w:rPr>
          <w:rFonts w:ascii="Arial" w:hAnsi="Arial" w:cs="Arial"/>
          <w:szCs w:val="22"/>
        </w:rPr>
        <w:t xml:space="preserve"> </w:t>
      </w:r>
    </w:p>
    <w:p w:rsidR="008B0240" w:rsidRPr="000E70A9" w:rsidRDefault="008B0240" w:rsidP="005804A2">
      <w:pPr>
        <w:rPr>
          <w:rFonts w:ascii="Arial" w:hAnsi="Arial" w:cs="Arial"/>
          <w:szCs w:val="22"/>
        </w:rPr>
      </w:pPr>
    </w:p>
    <w:p w:rsidR="008B0240" w:rsidRPr="00C41B85" w:rsidRDefault="008B0240" w:rsidP="005804A2">
      <w:pPr>
        <w:pStyle w:val="BodyText"/>
        <w:overflowPunct/>
        <w:autoSpaceDE/>
        <w:autoSpaceDN/>
        <w:adjustRightInd/>
        <w:spacing w:after="0"/>
        <w:ind w:left="720"/>
        <w:jc w:val="both"/>
        <w:textAlignment w:val="auto"/>
        <w:rPr>
          <w:rFonts w:ascii="Arial" w:hAnsi="Arial" w:cs="Arial"/>
          <w:i/>
          <w:iCs/>
          <w:szCs w:val="24"/>
        </w:rPr>
      </w:pPr>
    </w:p>
    <w:p w:rsidR="008B0240" w:rsidRPr="00F63DE3" w:rsidRDefault="008B0240" w:rsidP="005804A2">
      <w:pPr>
        <w:rPr>
          <w:rFonts w:ascii="Arial" w:hAnsi="Arial" w:cs="Arial"/>
          <w:b/>
          <w:noProof/>
          <w:sz w:val="22"/>
          <w:szCs w:val="22"/>
        </w:rPr>
      </w:pPr>
      <w:r>
        <w:rPr>
          <w:rFonts w:ascii="Arial" w:hAnsi="Arial" w:cs="Arial"/>
          <w:b/>
          <w:noProof/>
          <w:sz w:val="22"/>
          <w:szCs w:val="22"/>
        </w:rPr>
        <w:br w:type="page"/>
      </w:r>
      <w:r w:rsidRPr="00F63DE3">
        <w:rPr>
          <w:rFonts w:ascii="Arial" w:hAnsi="Arial" w:cs="Arial"/>
          <w:b/>
          <w:noProof/>
          <w:sz w:val="22"/>
          <w:szCs w:val="22"/>
        </w:rPr>
        <w:lastRenderedPageBreak/>
        <w:t xml:space="preserve"> </w:t>
      </w:r>
    </w:p>
    <w:tbl>
      <w:tblPr>
        <w:tblW w:w="9390" w:type="dxa"/>
        <w:tblCellSpacing w:w="0" w:type="dxa"/>
        <w:tblLayout w:type="fixed"/>
        <w:tblCellMar>
          <w:left w:w="0" w:type="dxa"/>
          <w:right w:w="0" w:type="dxa"/>
        </w:tblCellMar>
        <w:tblLook w:val="0000" w:firstRow="0" w:lastRow="0" w:firstColumn="0" w:lastColumn="0" w:noHBand="0" w:noVBand="0"/>
      </w:tblPr>
      <w:tblGrid>
        <w:gridCol w:w="3432"/>
        <w:gridCol w:w="1638"/>
        <w:gridCol w:w="1440"/>
        <w:gridCol w:w="2880"/>
      </w:tblGrid>
      <w:tr w:rsidR="008B0240" w:rsidRPr="00F63DE3" w:rsidTr="00B8015C">
        <w:trPr>
          <w:trHeight w:val="480"/>
          <w:tblCellSpacing w:w="0" w:type="dxa"/>
        </w:trPr>
        <w:tc>
          <w:tcPr>
            <w:tcW w:w="3432" w:type="dxa"/>
            <w:tcBorders>
              <w:top w:val="single" w:sz="12" w:space="0" w:color="000000"/>
              <w:left w:val="single" w:sz="12" w:space="0" w:color="000000"/>
              <w:bottom w:val="single" w:sz="6" w:space="0" w:color="000000"/>
              <w:right w:val="single" w:sz="6" w:space="0" w:color="000000"/>
            </w:tcBorders>
            <w:shd w:val="clear" w:color="auto" w:fill="D9D9D9"/>
          </w:tcPr>
          <w:p w:rsidR="008B0240" w:rsidRPr="00F63DE3" w:rsidRDefault="008B0240" w:rsidP="005804A2">
            <w:pPr>
              <w:pStyle w:val="BodyText2"/>
              <w:rPr>
                <w:rFonts w:cs="Arial"/>
                <w:b/>
                <w:iCs/>
                <w:color w:val="auto"/>
                <w:szCs w:val="22"/>
              </w:rPr>
            </w:pPr>
            <w:r w:rsidRPr="00F63DE3">
              <w:rPr>
                <w:rFonts w:cs="Arial"/>
                <w:b/>
                <w:iCs/>
                <w:color w:val="auto"/>
                <w:szCs w:val="22"/>
              </w:rPr>
              <w:t> </w:t>
            </w:r>
          </w:p>
        </w:tc>
        <w:tc>
          <w:tcPr>
            <w:tcW w:w="1638" w:type="dxa"/>
            <w:tcBorders>
              <w:top w:val="single" w:sz="12" w:space="0" w:color="000000"/>
              <w:left w:val="single" w:sz="6" w:space="0" w:color="000000"/>
              <w:bottom w:val="single" w:sz="6" w:space="0" w:color="000000"/>
              <w:right w:val="single" w:sz="6" w:space="0" w:color="000000"/>
            </w:tcBorders>
            <w:shd w:val="clear" w:color="auto" w:fill="D9D9D9"/>
          </w:tcPr>
          <w:p w:rsidR="008B0240" w:rsidRPr="00F63DE3" w:rsidRDefault="008B0240" w:rsidP="005804A2">
            <w:pPr>
              <w:pStyle w:val="BodyText2"/>
              <w:jc w:val="center"/>
              <w:rPr>
                <w:rFonts w:cs="Arial"/>
                <w:iCs/>
                <w:color w:val="auto"/>
                <w:szCs w:val="22"/>
              </w:rPr>
            </w:pPr>
            <w:r w:rsidRPr="00F63DE3">
              <w:rPr>
                <w:rFonts w:cs="Arial"/>
                <w:iCs/>
                <w:color w:val="auto"/>
                <w:szCs w:val="22"/>
              </w:rPr>
              <w:t>Fitch Long term Rating</w:t>
            </w:r>
          </w:p>
          <w:p w:rsidR="008B0240" w:rsidRPr="00F63DE3" w:rsidRDefault="008B0240" w:rsidP="005804A2">
            <w:pPr>
              <w:pStyle w:val="BodyText2"/>
              <w:jc w:val="center"/>
              <w:rPr>
                <w:rFonts w:cs="Arial"/>
                <w:iCs/>
                <w:color w:val="auto"/>
                <w:szCs w:val="22"/>
              </w:rPr>
            </w:pPr>
            <w:r w:rsidRPr="00F63DE3">
              <w:rPr>
                <w:rFonts w:cs="Arial"/>
                <w:iCs/>
                <w:color w:val="auto"/>
                <w:szCs w:val="22"/>
              </w:rPr>
              <w:t>(or equivalent)</w:t>
            </w:r>
          </w:p>
        </w:tc>
        <w:tc>
          <w:tcPr>
            <w:tcW w:w="1440" w:type="dxa"/>
            <w:tcBorders>
              <w:top w:val="single" w:sz="12" w:space="0" w:color="000000"/>
              <w:left w:val="single" w:sz="6" w:space="0" w:color="000000"/>
              <w:bottom w:val="single" w:sz="6" w:space="0" w:color="000000"/>
              <w:right w:val="single" w:sz="6" w:space="0" w:color="000000"/>
            </w:tcBorders>
            <w:shd w:val="clear" w:color="auto" w:fill="D9D9D9"/>
          </w:tcPr>
          <w:p w:rsidR="008B0240" w:rsidRPr="00F63DE3" w:rsidRDefault="008B0240" w:rsidP="005804A2">
            <w:pPr>
              <w:pStyle w:val="BodyText2"/>
              <w:jc w:val="center"/>
              <w:rPr>
                <w:rFonts w:cs="Arial"/>
                <w:iCs/>
                <w:color w:val="auto"/>
                <w:szCs w:val="22"/>
              </w:rPr>
            </w:pPr>
            <w:r w:rsidRPr="00F63DE3">
              <w:rPr>
                <w:rFonts w:cs="Arial"/>
                <w:iCs/>
                <w:color w:val="auto"/>
                <w:szCs w:val="22"/>
              </w:rPr>
              <w:t xml:space="preserve">Money </w:t>
            </w:r>
          </w:p>
          <w:p w:rsidR="008B0240" w:rsidRPr="00F63DE3" w:rsidRDefault="008B0240" w:rsidP="005804A2">
            <w:pPr>
              <w:pStyle w:val="BodyText2"/>
              <w:jc w:val="center"/>
              <w:rPr>
                <w:rFonts w:cs="Arial"/>
                <w:iCs/>
                <w:color w:val="auto"/>
                <w:szCs w:val="22"/>
              </w:rPr>
            </w:pPr>
            <w:r w:rsidRPr="00F63DE3">
              <w:rPr>
                <w:rFonts w:cs="Arial"/>
                <w:iCs/>
                <w:color w:val="auto"/>
                <w:szCs w:val="22"/>
              </w:rPr>
              <w:t>Limit</w:t>
            </w:r>
          </w:p>
        </w:tc>
        <w:tc>
          <w:tcPr>
            <w:tcW w:w="2880" w:type="dxa"/>
            <w:tcBorders>
              <w:top w:val="single" w:sz="12" w:space="0" w:color="000000"/>
              <w:left w:val="single" w:sz="6" w:space="0" w:color="000000"/>
              <w:bottom w:val="single" w:sz="6" w:space="0" w:color="000000"/>
              <w:right w:val="single" w:sz="12" w:space="0" w:color="000000"/>
            </w:tcBorders>
            <w:shd w:val="clear" w:color="auto" w:fill="D9D9D9"/>
          </w:tcPr>
          <w:p w:rsidR="008B0240" w:rsidRPr="00F63DE3" w:rsidRDefault="008B0240" w:rsidP="005804A2">
            <w:pPr>
              <w:pStyle w:val="BodyText2"/>
              <w:jc w:val="center"/>
              <w:rPr>
                <w:rFonts w:cs="Arial"/>
                <w:iCs/>
                <w:color w:val="auto"/>
                <w:szCs w:val="22"/>
              </w:rPr>
            </w:pPr>
            <w:r w:rsidRPr="00F63DE3">
              <w:rPr>
                <w:rFonts w:cs="Arial"/>
                <w:iCs/>
                <w:color w:val="auto"/>
                <w:szCs w:val="22"/>
              </w:rPr>
              <w:t xml:space="preserve">Time </w:t>
            </w:r>
          </w:p>
          <w:p w:rsidR="008B0240" w:rsidRPr="00F63DE3" w:rsidRDefault="008B0240" w:rsidP="005804A2">
            <w:pPr>
              <w:pStyle w:val="BodyText2"/>
              <w:jc w:val="center"/>
              <w:rPr>
                <w:rFonts w:cs="Arial"/>
                <w:iCs/>
                <w:color w:val="auto"/>
                <w:szCs w:val="22"/>
              </w:rPr>
            </w:pPr>
            <w:r w:rsidRPr="00F63DE3">
              <w:rPr>
                <w:rFonts w:cs="Arial"/>
                <w:iCs/>
                <w:color w:val="auto"/>
                <w:szCs w:val="22"/>
              </w:rPr>
              <w:t>Limit</w:t>
            </w:r>
          </w:p>
        </w:tc>
      </w:tr>
      <w:tr w:rsidR="008B0240" w:rsidRPr="00F63DE3" w:rsidTr="00B8015C">
        <w:trPr>
          <w:trHeight w:val="330"/>
          <w:tblCellSpacing w:w="0" w:type="dxa"/>
        </w:trPr>
        <w:tc>
          <w:tcPr>
            <w:tcW w:w="343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8B0240" w:rsidRPr="00965902" w:rsidRDefault="008B0240" w:rsidP="005804A2">
            <w:pPr>
              <w:pStyle w:val="BodyText2"/>
              <w:rPr>
                <w:rFonts w:cs="Arial"/>
                <w:b/>
                <w:iCs/>
                <w:color w:val="auto"/>
                <w:szCs w:val="22"/>
              </w:rPr>
            </w:pPr>
            <w:r w:rsidRPr="00965902">
              <w:rPr>
                <w:rFonts w:cs="Arial"/>
                <w:b/>
                <w:iCs/>
                <w:color w:val="auto"/>
                <w:szCs w:val="22"/>
              </w:rPr>
              <w:t>Banks 1 category high quality</w:t>
            </w:r>
          </w:p>
        </w:tc>
        <w:tc>
          <w:tcPr>
            <w:tcW w:w="16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0240" w:rsidRPr="00965902" w:rsidRDefault="008B0240" w:rsidP="005804A2">
            <w:pPr>
              <w:pStyle w:val="BodyText2"/>
              <w:jc w:val="center"/>
              <w:rPr>
                <w:rFonts w:cs="Arial"/>
                <w:b/>
                <w:iCs/>
                <w:color w:val="auto"/>
                <w:szCs w:val="22"/>
              </w:rPr>
            </w:pPr>
            <w:r w:rsidRPr="00965902">
              <w:rPr>
                <w:rFonts w:cs="Arial"/>
                <w:b/>
                <w:iCs/>
                <w:color w:val="auto"/>
                <w:szCs w:val="22"/>
              </w:rPr>
              <w:t>AA-</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0240" w:rsidRPr="00965902" w:rsidRDefault="00D41BF5" w:rsidP="005804A2">
            <w:pPr>
              <w:pStyle w:val="BodyText2"/>
              <w:jc w:val="center"/>
              <w:rPr>
                <w:rFonts w:cs="Arial"/>
                <w:b/>
                <w:iCs/>
                <w:color w:val="auto"/>
                <w:szCs w:val="22"/>
              </w:rPr>
            </w:pPr>
            <w:r w:rsidRPr="00965902">
              <w:rPr>
                <w:rFonts w:cs="Arial"/>
                <w:b/>
                <w:iCs/>
                <w:color w:val="auto"/>
                <w:szCs w:val="22"/>
              </w:rPr>
              <w:t>£5M</w:t>
            </w:r>
          </w:p>
        </w:tc>
        <w:tc>
          <w:tcPr>
            <w:tcW w:w="288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B0240" w:rsidRPr="00965902" w:rsidRDefault="000A0E48" w:rsidP="005804A2">
            <w:pPr>
              <w:pStyle w:val="BodyText2"/>
              <w:rPr>
                <w:rFonts w:cs="Arial"/>
                <w:b/>
                <w:iCs/>
                <w:color w:val="auto"/>
                <w:szCs w:val="22"/>
              </w:rPr>
            </w:pPr>
            <w:r w:rsidRPr="00965902">
              <w:rPr>
                <w:rFonts w:cs="Arial"/>
                <w:b/>
                <w:iCs/>
                <w:color w:val="auto"/>
                <w:szCs w:val="22"/>
              </w:rPr>
              <w:t>Maximum of 2</w:t>
            </w:r>
            <w:r w:rsidR="008B0240" w:rsidRPr="00965902">
              <w:rPr>
                <w:rFonts w:cs="Arial"/>
                <w:b/>
                <w:iCs/>
                <w:color w:val="auto"/>
                <w:szCs w:val="22"/>
              </w:rPr>
              <w:t xml:space="preserve"> years</w:t>
            </w:r>
            <w:r w:rsidR="00CE0BF4" w:rsidRPr="00965902">
              <w:rPr>
                <w:rFonts w:cs="Arial"/>
                <w:b/>
                <w:iCs/>
                <w:color w:val="auto"/>
                <w:szCs w:val="22"/>
              </w:rPr>
              <w:t xml:space="preserve"> </w:t>
            </w:r>
            <w:r w:rsidR="008B0240" w:rsidRPr="00965902">
              <w:rPr>
                <w:rFonts w:cs="Arial"/>
                <w:b/>
                <w:iCs/>
                <w:color w:val="auto"/>
                <w:szCs w:val="22"/>
              </w:rPr>
              <w:t xml:space="preserve">Suggested duration using </w:t>
            </w:r>
            <w:r w:rsidR="0059779C" w:rsidRPr="00965902">
              <w:rPr>
                <w:rFonts w:cs="Arial"/>
                <w:b/>
                <w:iCs/>
                <w:color w:val="auto"/>
                <w:szCs w:val="22"/>
              </w:rPr>
              <w:t>Link Asset Services</w:t>
            </w:r>
            <w:r w:rsidR="008B0240" w:rsidRPr="00965902">
              <w:rPr>
                <w:rFonts w:cs="Arial"/>
                <w:b/>
                <w:iCs/>
                <w:color w:val="auto"/>
                <w:szCs w:val="22"/>
              </w:rPr>
              <w:t xml:space="preserve"> colour coding (CDS adjusted with manual override)</w:t>
            </w:r>
          </w:p>
        </w:tc>
      </w:tr>
      <w:tr w:rsidR="008B0240" w:rsidRPr="00F63DE3" w:rsidTr="00B8015C">
        <w:trPr>
          <w:trHeight w:val="330"/>
          <w:tblCellSpacing w:w="0" w:type="dxa"/>
        </w:trPr>
        <w:tc>
          <w:tcPr>
            <w:tcW w:w="343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8B0240" w:rsidRPr="00965902" w:rsidRDefault="008B0240" w:rsidP="005804A2">
            <w:pPr>
              <w:pStyle w:val="BodyText2"/>
              <w:rPr>
                <w:rFonts w:cs="Arial"/>
                <w:b/>
                <w:iCs/>
                <w:color w:val="auto"/>
                <w:szCs w:val="22"/>
              </w:rPr>
            </w:pPr>
            <w:r w:rsidRPr="00965902">
              <w:rPr>
                <w:rFonts w:cs="Arial"/>
                <w:b/>
                <w:iCs/>
                <w:color w:val="auto"/>
                <w:szCs w:val="22"/>
              </w:rPr>
              <w:t>Banks 1 category medium quality</w:t>
            </w:r>
          </w:p>
        </w:tc>
        <w:tc>
          <w:tcPr>
            <w:tcW w:w="16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0240" w:rsidRPr="00965902" w:rsidRDefault="008B0240" w:rsidP="005804A2">
            <w:pPr>
              <w:pStyle w:val="BodyText2"/>
              <w:jc w:val="center"/>
              <w:rPr>
                <w:rFonts w:cs="Arial"/>
                <w:b/>
                <w:iCs/>
                <w:color w:val="auto"/>
                <w:szCs w:val="22"/>
              </w:rPr>
            </w:pPr>
            <w:r w:rsidRPr="00965902">
              <w:rPr>
                <w:rFonts w:cs="Arial"/>
                <w:b/>
                <w:iCs/>
                <w:color w:val="auto"/>
                <w:szCs w:val="22"/>
              </w:rPr>
              <w:t>A</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0240" w:rsidRPr="00965902" w:rsidRDefault="008B0240" w:rsidP="005804A2">
            <w:pPr>
              <w:pStyle w:val="BodyText2"/>
              <w:jc w:val="center"/>
              <w:rPr>
                <w:rFonts w:cs="Arial"/>
                <w:b/>
                <w:iCs/>
                <w:color w:val="auto"/>
                <w:szCs w:val="22"/>
              </w:rPr>
            </w:pPr>
            <w:r w:rsidRPr="00965902">
              <w:rPr>
                <w:rFonts w:cs="Arial"/>
                <w:b/>
                <w:iCs/>
                <w:color w:val="auto"/>
                <w:szCs w:val="22"/>
              </w:rPr>
              <w:t>£4</w:t>
            </w:r>
            <w:r w:rsidR="00D41BF5" w:rsidRPr="00965902">
              <w:rPr>
                <w:rFonts w:cs="Arial"/>
                <w:b/>
                <w:iCs/>
                <w:color w:val="auto"/>
                <w:szCs w:val="22"/>
              </w:rPr>
              <w:t>M</w:t>
            </w:r>
          </w:p>
        </w:tc>
        <w:tc>
          <w:tcPr>
            <w:tcW w:w="288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B0240" w:rsidRPr="00965902" w:rsidRDefault="008B0240" w:rsidP="005804A2">
            <w:pPr>
              <w:pStyle w:val="BodyText2"/>
              <w:rPr>
                <w:rFonts w:cs="Arial"/>
                <w:b/>
                <w:iCs/>
                <w:color w:val="auto"/>
                <w:szCs w:val="22"/>
              </w:rPr>
            </w:pPr>
            <w:r w:rsidRPr="00965902">
              <w:rPr>
                <w:rFonts w:cs="Arial"/>
                <w:b/>
                <w:iCs/>
                <w:color w:val="auto"/>
                <w:szCs w:val="22"/>
              </w:rPr>
              <w:t>Maximum of 1 year</w:t>
            </w:r>
            <w:r w:rsidR="00CE0BF4" w:rsidRPr="00965902">
              <w:rPr>
                <w:rFonts w:cs="Arial"/>
                <w:b/>
                <w:iCs/>
                <w:color w:val="auto"/>
                <w:szCs w:val="22"/>
              </w:rPr>
              <w:t xml:space="preserve"> </w:t>
            </w:r>
            <w:r w:rsidRPr="00965902">
              <w:rPr>
                <w:rFonts w:cs="Arial"/>
                <w:b/>
                <w:iCs/>
                <w:color w:val="auto"/>
                <w:szCs w:val="22"/>
              </w:rPr>
              <w:t xml:space="preserve">Suggested duration using </w:t>
            </w:r>
            <w:r w:rsidR="0059779C" w:rsidRPr="00965902">
              <w:rPr>
                <w:rFonts w:cs="Arial"/>
                <w:b/>
                <w:iCs/>
                <w:color w:val="auto"/>
                <w:szCs w:val="22"/>
              </w:rPr>
              <w:t>Link Asset Services</w:t>
            </w:r>
            <w:r w:rsidRPr="00965902">
              <w:rPr>
                <w:rFonts w:cs="Arial"/>
                <w:b/>
                <w:iCs/>
                <w:color w:val="auto"/>
                <w:szCs w:val="22"/>
              </w:rPr>
              <w:t xml:space="preserve"> colour coding (CDS adjusted with manual override)</w:t>
            </w:r>
          </w:p>
        </w:tc>
      </w:tr>
      <w:tr w:rsidR="008B0240" w:rsidRPr="00F63DE3" w:rsidTr="00B8015C">
        <w:trPr>
          <w:trHeight w:val="330"/>
          <w:tblCellSpacing w:w="0" w:type="dxa"/>
        </w:trPr>
        <w:tc>
          <w:tcPr>
            <w:tcW w:w="343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8B0240" w:rsidRPr="00965902" w:rsidRDefault="008B0240" w:rsidP="005804A2">
            <w:pPr>
              <w:pStyle w:val="BodyText2"/>
              <w:rPr>
                <w:rFonts w:cs="Arial"/>
                <w:b/>
                <w:iCs/>
                <w:color w:val="auto"/>
                <w:szCs w:val="22"/>
              </w:rPr>
            </w:pPr>
            <w:r w:rsidRPr="00965902">
              <w:rPr>
                <w:rFonts w:cs="Arial"/>
                <w:b/>
                <w:iCs/>
                <w:color w:val="auto"/>
                <w:szCs w:val="22"/>
              </w:rPr>
              <w:t>Banks 1 category lower quality</w:t>
            </w:r>
          </w:p>
        </w:tc>
        <w:tc>
          <w:tcPr>
            <w:tcW w:w="16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0240" w:rsidRPr="00965902" w:rsidRDefault="008B0240" w:rsidP="005804A2">
            <w:pPr>
              <w:pStyle w:val="BodyText2"/>
              <w:jc w:val="center"/>
              <w:rPr>
                <w:rFonts w:cs="Arial"/>
                <w:b/>
                <w:iCs/>
                <w:color w:val="auto"/>
                <w:szCs w:val="22"/>
              </w:rPr>
            </w:pPr>
            <w:r w:rsidRPr="00965902">
              <w:rPr>
                <w:rFonts w:cs="Arial"/>
                <w:b/>
                <w:iCs/>
                <w:color w:val="auto"/>
                <w:szCs w:val="22"/>
              </w:rPr>
              <w:t>A-</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0240" w:rsidRPr="00965902" w:rsidRDefault="00D41BF5" w:rsidP="005804A2">
            <w:pPr>
              <w:pStyle w:val="BodyText2"/>
              <w:jc w:val="center"/>
              <w:rPr>
                <w:rFonts w:cs="Arial"/>
                <w:b/>
                <w:iCs/>
                <w:color w:val="auto"/>
                <w:szCs w:val="22"/>
              </w:rPr>
            </w:pPr>
            <w:r w:rsidRPr="00965902">
              <w:rPr>
                <w:rFonts w:cs="Arial"/>
                <w:b/>
                <w:iCs/>
                <w:color w:val="auto"/>
                <w:szCs w:val="22"/>
              </w:rPr>
              <w:t>£3M</w:t>
            </w:r>
          </w:p>
        </w:tc>
        <w:tc>
          <w:tcPr>
            <w:tcW w:w="288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B0240" w:rsidRPr="00965902" w:rsidRDefault="008B0240" w:rsidP="005804A2">
            <w:pPr>
              <w:pStyle w:val="BodyText2"/>
              <w:rPr>
                <w:rFonts w:cs="Arial"/>
                <w:b/>
                <w:iCs/>
                <w:color w:val="auto"/>
                <w:szCs w:val="22"/>
              </w:rPr>
            </w:pPr>
            <w:r w:rsidRPr="00965902">
              <w:rPr>
                <w:rFonts w:cs="Arial"/>
                <w:b/>
                <w:iCs/>
                <w:color w:val="auto"/>
                <w:szCs w:val="22"/>
              </w:rPr>
              <w:t>Maximum of 1 year</w:t>
            </w:r>
            <w:r w:rsidR="00CE0BF4" w:rsidRPr="00965902">
              <w:rPr>
                <w:rFonts w:cs="Arial"/>
                <w:b/>
                <w:iCs/>
                <w:color w:val="auto"/>
                <w:szCs w:val="22"/>
              </w:rPr>
              <w:t xml:space="preserve"> </w:t>
            </w:r>
            <w:r w:rsidRPr="00965902">
              <w:rPr>
                <w:rFonts w:cs="Arial"/>
                <w:b/>
                <w:iCs/>
                <w:color w:val="auto"/>
                <w:szCs w:val="22"/>
              </w:rPr>
              <w:t xml:space="preserve">Suggested duration using </w:t>
            </w:r>
            <w:r w:rsidR="0059779C" w:rsidRPr="00965902">
              <w:rPr>
                <w:rFonts w:cs="Arial"/>
                <w:b/>
                <w:iCs/>
                <w:color w:val="auto"/>
                <w:szCs w:val="22"/>
              </w:rPr>
              <w:t>Link Asset Services</w:t>
            </w:r>
            <w:r w:rsidRPr="00965902">
              <w:rPr>
                <w:rFonts w:cs="Arial"/>
                <w:b/>
                <w:iCs/>
                <w:color w:val="auto"/>
                <w:szCs w:val="22"/>
              </w:rPr>
              <w:t xml:space="preserve"> colour coding (CDS adjusted with manual override)</w:t>
            </w:r>
          </w:p>
        </w:tc>
      </w:tr>
      <w:tr w:rsidR="008B0240" w:rsidRPr="00F63DE3" w:rsidTr="00B8015C">
        <w:trPr>
          <w:trHeight w:val="330"/>
          <w:tblCellSpacing w:w="0" w:type="dxa"/>
        </w:trPr>
        <w:tc>
          <w:tcPr>
            <w:tcW w:w="343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8B0240" w:rsidRPr="00965902" w:rsidRDefault="008B0240" w:rsidP="005804A2">
            <w:pPr>
              <w:pStyle w:val="BodyText2"/>
              <w:rPr>
                <w:rFonts w:cs="Arial"/>
                <w:b/>
                <w:iCs/>
                <w:color w:val="auto"/>
                <w:szCs w:val="22"/>
              </w:rPr>
            </w:pPr>
            <w:r w:rsidRPr="00965902">
              <w:rPr>
                <w:rFonts w:cs="Arial"/>
                <w:b/>
                <w:iCs/>
                <w:color w:val="auto"/>
                <w:szCs w:val="22"/>
              </w:rPr>
              <w:t>Banks 2 Non UK</w:t>
            </w:r>
            <w:r w:rsidR="00495BF7" w:rsidRPr="00965902">
              <w:rPr>
                <w:rFonts w:cs="Arial"/>
                <w:b/>
                <w:iCs/>
                <w:color w:val="auto"/>
                <w:szCs w:val="22"/>
              </w:rPr>
              <w:t xml:space="preserve"> (only where sovereign ratings are AAA)</w:t>
            </w:r>
          </w:p>
        </w:tc>
        <w:tc>
          <w:tcPr>
            <w:tcW w:w="16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0240" w:rsidRPr="00965902" w:rsidRDefault="008B0240" w:rsidP="005804A2">
            <w:pPr>
              <w:pStyle w:val="BodyText2"/>
              <w:jc w:val="center"/>
              <w:rPr>
                <w:rFonts w:cs="Arial"/>
                <w:b/>
                <w:iCs/>
                <w:color w:val="auto"/>
                <w:szCs w:val="22"/>
              </w:rPr>
            </w:pPr>
            <w:r w:rsidRPr="00965902">
              <w:rPr>
                <w:rFonts w:cs="Arial"/>
                <w:b/>
                <w:iCs/>
                <w:color w:val="auto"/>
                <w:szCs w:val="22"/>
              </w:rPr>
              <w:t>AA-</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0240" w:rsidRPr="00965902" w:rsidRDefault="008B0240" w:rsidP="005804A2">
            <w:pPr>
              <w:pStyle w:val="BodyText2"/>
              <w:jc w:val="center"/>
              <w:rPr>
                <w:rFonts w:cs="Arial"/>
                <w:b/>
                <w:iCs/>
                <w:color w:val="auto"/>
                <w:szCs w:val="22"/>
              </w:rPr>
            </w:pPr>
            <w:r w:rsidRPr="00965902">
              <w:rPr>
                <w:rFonts w:cs="Arial"/>
                <w:b/>
                <w:iCs/>
                <w:color w:val="auto"/>
                <w:szCs w:val="22"/>
              </w:rPr>
              <w:t>£3</w:t>
            </w:r>
            <w:r w:rsidR="00D41BF5" w:rsidRPr="00965902">
              <w:rPr>
                <w:rFonts w:cs="Arial"/>
                <w:b/>
                <w:iCs/>
                <w:color w:val="auto"/>
                <w:szCs w:val="22"/>
              </w:rPr>
              <w:t>M</w:t>
            </w:r>
          </w:p>
        </w:tc>
        <w:tc>
          <w:tcPr>
            <w:tcW w:w="288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B0240" w:rsidRPr="00965902" w:rsidRDefault="008B0240" w:rsidP="005804A2">
            <w:pPr>
              <w:pStyle w:val="BodyText2"/>
              <w:rPr>
                <w:rFonts w:cs="Arial"/>
                <w:b/>
                <w:iCs/>
                <w:color w:val="auto"/>
                <w:szCs w:val="22"/>
              </w:rPr>
            </w:pPr>
            <w:r w:rsidRPr="00965902">
              <w:rPr>
                <w:rFonts w:cs="Arial"/>
                <w:b/>
                <w:iCs/>
                <w:color w:val="auto"/>
                <w:szCs w:val="22"/>
              </w:rPr>
              <w:t>Maximum of 1 year</w:t>
            </w:r>
            <w:r w:rsidR="00CE0BF4" w:rsidRPr="00965902">
              <w:rPr>
                <w:rFonts w:cs="Arial"/>
                <w:b/>
                <w:iCs/>
                <w:color w:val="auto"/>
                <w:szCs w:val="22"/>
              </w:rPr>
              <w:t xml:space="preserve"> </w:t>
            </w:r>
            <w:r w:rsidRPr="00965902">
              <w:rPr>
                <w:rFonts w:cs="Arial"/>
                <w:b/>
                <w:iCs/>
                <w:color w:val="auto"/>
                <w:szCs w:val="22"/>
              </w:rPr>
              <w:t xml:space="preserve">Suggested duration using </w:t>
            </w:r>
            <w:r w:rsidR="0059779C" w:rsidRPr="00965902">
              <w:rPr>
                <w:rFonts w:cs="Arial"/>
                <w:b/>
                <w:iCs/>
                <w:color w:val="auto"/>
                <w:szCs w:val="22"/>
              </w:rPr>
              <w:t>Link Asset Services</w:t>
            </w:r>
            <w:r w:rsidRPr="00965902">
              <w:rPr>
                <w:rFonts w:cs="Arial"/>
                <w:b/>
                <w:iCs/>
                <w:color w:val="auto"/>
                <w:szCs w:val="22"/>
              </w:rPr>
              <w:t xml:space="preserve"> colour coding (CDS adjusted with manual override)</w:t>
            </w:r>
          </w:p>
        </w:tc>
      </w:tr>
      <w:tr w:rsidR="008B0240" w:rsidRPr="00F63DE3" w:rsidTr="00B8015C">
        <w:trPr>
          <w:trHeight w:val="330"/>
          <w:tblCellSpacing w:w="0" w:type="dxa"/>
        </w:trPr>
        <w:tc>
          <w:tcPr>
            <w:tcW w:w="343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8B0240" w:rsidRPr="00965902" w:rsidRDefault="008B0240" w:rsidP="005804A2">
            <w:pPr>
              <w:pStyle w:val="BodyText2"/>
              <w:rPr>
                <w:rFonts w:cs="Arial"/>
                <w:b/>
                <w:iCs/>
                <w:color w:val="auto"/>
                <w:szCs w:val="22"/>
              </w:rPr>
            </w:pPr>
            <w:r w:rsidRPr="00965902">
              <w:rPr>
                <w:rFonts w:cs="Arial"/>
                <w:b/>
                <w:iCs/>
                <w:color w:val="auto"/>
                <w:szCs w:val="22"/>
              </w:rPr>
              <w:t>Banks 3 category – part nationalised</w:t>
            </w:r>
          </w:p>
        </w:tc>
        <w:tc>
          <w:tcPr>
            <w:tcW w:w="16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0240" w:rsidRPr="00965902" w:rsidRDefault="008B0240" w:rsidP="005804A2">
            <w:pPr>
              <w:pStyle w:val="BodyText2"/>
              <w:jc w:val="center"/>
              <w:rPr>
                <w:rFonts w:cs="Arial"/>
                <w:b/>
                <w:iCs/>
                <w:color w:val="auto"/>
                <w:szCs w:val="22"/>
              </w:rPr>
            </w:pPr>
            <w:r w:rsidRPr="00965902">
              <w:rPr>
                <w:rFonts w:cs="Arial"/>
                <w:b/>
                <w:iCs/>
                <w:color w:val="auto"/>
                <w:szCs w:val="22"/>
              </w:rPr>
              <w:t>N/A</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0240" w:rsidRPr="00965902" w:rsidRDefault="00D41BF5" w:rsidP="005804A2">
            <w:pPr>
              <w:pStyle w:val="BodyText2"/>
              <w:jc w:val="center"/>
              <w:rPr>
                <w:rFonts w:cs="Arial"/>
                <w:b/>
                <w:iCs/>
                <w:color w:val="auto"/>
                <w:szCs w:val="22"/>
              </w:rPr>
            </w:pPr>
            <w:r w:rsidRPr="00965902">
              <w:rPr>
                <w:rFonts w:cs="Arial"/>
                <w:b/>
                <w:iCs/>
                <w:color w:val="auto"/>
                <w:szCs w:val="22"/>
              </w:rPr>
              <w:t>£5M</w:t>
            </w:r>
          </w:p>
        </w:tc>
        <w:tc>
          <w:tcPr>
            <w:tcW w:w="288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B0240" w:rsidRPr="00965902" w:rsidRDefault="000A0E48" w:rsidP="000A0E48">
            <w:pPr>
              <w:pStyle w:val="BodyText2"/>
              <w:jc w:val="center"/>
              <w:rPr>
                <w:rFonts w:cs="Arial"/>
                <w:b/>
                <w:iCs/>
                <w:color w:val="auto"/>
                <w:szCs w:val="22"/>
              </w:rPr>
            </w:pPr>
            <w:r w:rsidRPr="00965902">
              <w:rPr>
                <w:rFonts w:cs="Arial"/>
                <w:b/>
                <w:iCs/>
                <w:color w:val="auto"/>
                <w:szCs w:val="22"/>
              </w:rPr>
              <w:t>Maximum of 1</w:t>
            </w:r>
            <w:r w:rsidR="008B0240" w:rsidRPr="00965902">
              <w:rPr>
                <w:rFonts w:cs="Arial"/>
                <w:b/>
                <w:iCs/>
                <w:color w:val="auto"/>
                <w:szCs w:val="22"/>
              </w:rPr>
              <w:t xml:space="preserve"> year</w:t>
            </w:r>
          </w:p>
        </w:tc>
      </w:tr>
      <w:tr w:rsidR="008B0240" w:rsidRPr="00F63DE3" w:rsidTr="00B8015C">
        <w:trPr>
          <w:trHeight w:val="330"/>
          <w:tblCellSpacing w:w="0" w:type="dxa"/>
        </w:trPr>
        <w:tc>
          <w:tcPr>
            <w:tcW w:w="3432" w:type="dxa"/>
            <w:tcBorders>
              <w:top w:val="single" w:sz="6" w:space="0" w:color="000000"/>
              <w:left w:val="single" w:sz="12" w:space="0" w:color="000000"/>
              <w:bottom w:val="single" w:sz="6" w:space="0" w:color="000000"/>
              <w:right w:val="single" w:sz="6" w:space="0" w:color="000000"/>
            </w:tcBorders>
            <w:shd w:val="clear" w:color="auto" w:fill="auto"/>
            <w:vAlign w:val="center"/>
          </w:tcPr>
          <w:p w:rsidR="008B0240" w:rsidRPr="00965902" w:rsidRDefault="008B0240" w:rsidP="005804A2">
            <w:pPr>
              <w:pStyle w:val="BodyText2"/>
              <w:rPr>
                <w:rFonts w:cs="Arial"/>
                <w:b/>
                <w:iCs/>
                <w:color w:val="auto"/>
                <w:szCs w:val="22"/>
              </w:rPr>
            </w:pPr>
            <w:r w:rsidRPr="00965902">
              <w:rPr>
                <w:rFonts w:cs="Arial"/>
                <w:b/>
                <w:iCs/>
                <w:color w:val="auto"/>
                <w:szCs w:val="22"/>
              </w:rPr>
              <w:t>Banks 4 category – Council’s</w:t>
            </w:r>
            <w:r w:rsidR="00676478" w:rsidRPr="00965902">
              <w:rPr>
                <w:rFonts w:cs="Arial"/>
                <w:b/>
                <w:iCs/>
                <w:color w:val="auto"/>
                <w:szCs w:val="22"/>
              </w:rPr>
              <w:t xml:space="preserve"> banker (not meeting Banks 1,</w:t>
            </w:r>
            <w:r w:rsidRPr="00965902">
              <w:rPr>
                <w:rFonts w:cs="Arial"/>
                <w:b/>
                <w:iCs/>
                <w:color w:val="auto"/>
                <w:szCs w:val="22"/>
              </w:rPr>
              <w:t>2</w:t>
            </w:r>
            <w:r w:rsidR="00676478" w:rsidRPr="00965902">
              <w:rPr>
                <w:rFonts w:cs="Arial"/>
                <w:b/>
                <w:iCs/>
                <w:color w:val="auto"/>
                <w:szCs w:val="22"/>
              </w:rPr>
              <w:t xml:space="preserve"> and3</w:t>
            </w:r>
            <w:r w:rsidRPr="00965902">
              <w:rPr>
                <w:rFonts w:cs="Arial"/>
                <w:b/>
                <w:iCs/>
                <w:color w:val="auto"/>
                <w:szCs w:val="22"/>
              </w:rPr>
              <w:t>)</w:t>
            </w:r>
          </w:p>
        </w:tc>
        <w:tc>
          <w:tcPr>
            <w:tcW w:w="16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0240" w:rsidRPr="00965902" w:rsidRDefault="008B0240" w:rsidP="005804A2">
            <w:pPr>
              <w:pStyle w:val="BodyText2"/>
              <w:jc w:val="center"/>
              <w:rPr>
                <w:rFonts w:cs="Arial"/>
                <w:b/>
                <w:iCs/>
                <w:color w:val="auto"/>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0240" w:rsidRPr="00965902" w:rsidRDefault="00D41BF5" w:rsidP="005804A2">
            <w:pPr>
              <w:pStyle w:val="BodyText2"/>
              <w:jc w:val="center"/>
              <w:rPr>
                <w:rFonts w:cs="Arial"/>
                <w:b/>
                <w:iCs/>
                <w:color w:val="auto"/>
                <w:szCs w:val="22"/>
              </w:rPr>
            </w:pPr>
            <w:r w:rsidRPr="00965902">
              <w:rPr>
                <w:rFonts w:cs="Arial"/>
                <w:b/>
                <w:iCs/>
                <w:color w:val="auto"/>
                <w:szCs w:val="22"/>
              </w:rPr>
              <w:t>£3M</w:t>
            </w:r>
          </w:p>
        </w:tc>
        <w:tc>
          <w:tcPr>
            <w:tcW w:w="288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B0240" w:rsidRPr="00965902" w:rsidRDefault="008B0240" w:rsidP="005804A2">
            <w:pPr>
              <w:pStyle w:val="BodyText2"/>
              <w:jc w:val="center"/>
              <w:rPr>
                <w:rFonts w:cs="Arial"/>
                <w:b/>
                <w:iCs/>
                <w:color w:val="auto"/>
                <w:szCs w:val="22"/>
              </w:rPr>
            </w:pPr>
            <w:r w:rsidRPr="00965902">
              <w:rPr>
                <w:rFonts w:cs="Arial"/>
                <w:b/>
                <w:iCs/>
                <w:color w:val="auto"/>
                <w:szCs w:val="22"/>
              </w:rPr>
              <w:t>1 day</w:t>
            </w:r>
          </w:p>
        </w:tc>
      </w:tr>
      <w:tr w:rsidR="008B0240" w:rsidRPr="00F63DE3" w:rsidTr="00B8015C">
        <w:trPr>
          <w:trHeight w:val="330"/>
          <w:tblCellSpacing w:w="0" w:type="dxa"/>
        </w:trPr>
        <w:tc>
          <w:tcPr>
            <w:tcW w:w="3432"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8B0240" w:rsidRPr="00965902" w:rsidRDefault="008B0240" w:rsidP="005804A2">
            <w:pPr>
              <w:pStyle w:val="BodyText2"/>
              <w:rPr>
                <w:rFonts w:cs="Arial"/>
                <w:b/>
                <w:iCs/>
                <w:color w:val="auto"/>
                <w:szCs w:val="22"/>
              </w:rPr>
            </w:pPr>
            <w:r w:rsidRPr="00965902">
              <w:rPr>
                <w:rFonts w:cs="Arial"/>
                <w:b/>
                <w:iCs/>
                <w:color w:val="auto"/>
                <w:szCs w:val="22"/>
              </w:rPr>
              <w:t>DMADF (Debt Management Office)</w:t>
            </w:r>
          </w:p>
        </w:tc>
        <w:tc>
          <w:tcPr>
            <w:tcW w:w="1638" w:type="dxa"/>
            <w:tcBorders>
              <w:top w:val="single" w:sz="6" w:space="0" w:color="000000"/>
              <w:left w:val="single" w:sz="6" w:space="0" w:color="000000"/>
              <w:bottom w:val="single" w:sz="12" w:space="0" w:color="000000"/>
              <w:right w:val="single" w:sz="6" w:space="0" w:color="000000"/>
            </w:tcBorders>
            <w:shd w:val="clear" w:color="auto" w:fill="auto"/>
            <w:vAlign w:val="center"/>
          </w:tcPr>
          <w:p w:rsidR="008B0240" w:rsidRPr="00965902" w:rsidRDefault="008B0240" w:rsidP="005804A2">
            <w:pPr>
              <w:pStyle w:val="BodyText2"/>
              <w:jc w:val="center"/>
              <w:rPr>
                <w:rFonts w:cs="Arial"/>
                <w:b/>
                <w:iCs/>
                <w:color w:val="auto"/>
                <w:szCs w:val="22"/>
              </w:rPr>
            </w:pPr>
            <w:r w:rsidRPr="00965902">
              <w:rPr>
                <w:rFonts w:cs="Arial"/>
                <w:b/>
                <w:iCs/>
                <w:color w:val="auto"/>
                <w:szCs w:val="22"/>
              </w:rPr>
              <w:t>AAA</w:t>
            </w:r>
          </w:p>
        </w:tc>
        <w:tc>
          <w:tcPr>
            <w:tcW w:w="1440" w:type="dxa"/>
            <w:tcBorders>
              <w:top w:val="single" w:sz="6" w:space="0" w:color="000000"/>
              <w:left w:val="single" w:sz="6" w:space="0" w:color="000000"/>
              <w:bottom w:val="single" w:sz="12" w:space="0" w:color="000000"/>
              <w:right w:val="single" w:sz="6" w:space="0" w:color="000000"/>
            </w:tcBorders>
            <w:shd w:val="clear" w:color="auto" w:fill="auto"/>
            <w:vAlign w:val="center"/>
          </w:tcPr>
          <w:p w:rsidR="008B0240" w:rsidRPr="00965902" w:rsidRDefault="008B0240" w:rsidP="005804A2">
            <w:pPr>
              <w:pStyle w:val="BodyText2"/>
              <w:jc w:val="center"/>
              <w:rPr>
                <w:rFonts w:cs="Arial"/>
                <w:b/>
                <w:iCs/>
                <w:color w:val="auto"/>
                <w:szCs w:val="22"/>
              </w:rPr>
            </w:pPr>
            <w:r w:rsidRPr="00965902">
              <w:rPr>
                <w:rFonts w:cs="Arial"/>
                <w:b/>
                <w:iCs/>
                <w:color w:val="auto"/>
                <w:szCs w:val="22"/>
              </w:rPr>
              <w:t>unlimited</w:t>
            </w:r>
          </w:p>
        </w:tc>
        <w:tc>
          <w:tcPr>
            <w:tcW w:w="2880"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8B0240" w:rsidRPr="00965902" w:rsidRDefault="008B0240" w:rsidP="005804A2">
            <w:pPr>
              <w:pStyle w:val="BodyText2"/>
              <w:jc w:val="center"/>
              <w:rPr>
                <w:rFonts w:cs="Arial"/>
                <w:b/>
                <w:iCs/>
                <w:color w:val="auto"/>
                <w:szCs w:val="22"/>
              </w:rPr>
            </w:pPr>
            <w:r w:rsidRPr="00965902">
              <w:rPr>
                <w:rFonts w:cs="Arial"/>
                <w:b/>
                <w:iCs/>
                <w:color w:val="auto"/>
                <w:szCs w:val="22"/>
              </w:rPr>
              <w:t>6 months</w:t>
            </w:r>
          </w:p>
        </w:tc>
      </w:tr>
      <w:tr w:rsidR="008B0240" w:rsidRPr="00F63DE3" w:rsidTr="00B8015C">
        <w:trPr>
          <w:trHeight w:val="330"/>
          <w:tblCellSpacing w:w="0" w:type="dxa"/>
        </w:trPr>
        <w:tc>
          <w:tcPr>
            <w:tcW w:w="3432"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8B0240" w:rsidRPr="00965902" w:rsidRDefault="008B0240" w:rsidP="005804A2">
            <w:pPr>
              <w:pStyle w:val="BodyText2"/>
              <w:rPr>
                <w:rFonts w:cs="Arial"/>
                <w:b/>
                <w:iCs/>
                <w:color w:val="auto"/>
                <w:szCs w:val="22"/>
              </w:rPr>
            </w:pPr>
            <w:r w:rsidRPr="00965902">
              <w:rPr>
                <w:rFonts w:cs="Arial"/>
                <w:b/>
                <w:iCs/>
                <w:color w:val="auto"/>
                <w:szCs w:val="22"/>
              </w:rPr>
              <w:t>Local authorities</w:t>
            </w:r>
          </w:p>
        </w:tc>
        <w:tc>
          <w:tcPr>
            <w:tcW w:w="1638" w:type="dxa"/>
            <w:tcBorders>
              <w:top w:val="single" w:sz="6" w:space="0" w:color="000000"/>
              <w:left w:val="single" w:sz="6" w:space="0" w:color="000000"/>
              <w:bottom w:val="single" w:sz="12" w:space="0" w:color="000000"/>
              <w:right w:val="single" w:sz="6" w:space="0" w:color="000000"/>
            </w:tcBorders>
            <w:shd w:val="clear" w:color="auto" w:fill="auto"/>
            <w:vAlign w:val="center"/>
          </w:tcPr>
          <w:p w:rsidR="008B0240" w:rsidRPr="00965902" w:rsidRDefault="008B0240" w:rsidP="005804A2">
            <w:pPr>
              <w:pStyle w:val="BodyText2"/>
              <w:jc w:val="center"/>
              <w:rPr>
                <w:rFonts w:cs="Arial"/>
                <w:b/>
                <w:iCs/>
                <w:color w:val="auto"/>
                <w:szCs w:val="22"/>
              </w:rPr>
            </w:pPr>
            <w:r w:rsidRPr="00965902">
              <w:rPr>
                <w:rFonts w:cs="Arial"/>
                <w:b/>
                <w:iCs/>
                <w:color w:val="auto"/>
                <w:szCs w:val="22"/>
              </w:rPr>
              <w:t>N/A</w:t>
            </w:r>
          </w:p>
        </w:tc>
        <w:tc>
          <w:tcPr>
            <w:tcW w:w="1440" w:type="dxa"/>
            <w:tcBorders>
              <w:top w:val="single" w:sz="6" w:space="0" w:color="000000"/>
              <w:left w:val="single" w:sz="6" w:space="0" w:color="000000"/>
              <w:bottom w:val="single" w:sz="12" w:space="0" w:color="000000"/>
              <w:right w:val="single" w:sz="6" w:space="0" w:color="000000"/>
            </w:tcBorders>
            <w:shd w:val="clear" w:color="auto" w:fill="auto"/>
            <w:vAlign w:val="center"/>
          </w:tcPr>
          <w:p w:rsidR="008B0240" w:rsidRPr="00965902" w:rsidRDefault="00D41BF5" w:rsidP="005804A2">
            <w:pPr>
              <w:pStyle w:val="BodyText2"/>
              <w:jc w:val="center"/>
              <w:rPr>
                <w:rFonts w:cs="Arial"/>
                <w:b/>
                <w:iCs/>
                <w:color w:val="auto"/>
                <w:szCs w:val="22"/>
              </w:rPr>
            </w:pPr>
            <w:r w:rsidRPr="00965902">
              <w:rPr>
                <w:rFonts w:cs="Arial"/>
                <w:b/>
                <w:iCs/>
                <w:color w:val="auto"/>
                <w:szCs w:val="22"/>
              </w:rPr>
              <w:t>£5M</w:t>
            </w:r>
            <w:r w:rsidR="008B0240" w:rsidRPr="00965902">
              <w:rPr>
                <w:rFonts w:cs="Arial"/>
                <w:b/>
                <w:iCs/>
                <w:color w:val="auto"/>
                <w:szCs w:val="22"/>
              </w:rPr>
              <w:t xml:space="preserve"> per Local Authority</w:t>
            </w:r>
          </w:p>
        </w:tc>
        <w:tc>
          <w:tcPr>
            <w:tcW w:w="2880"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8B0240" w:rsidRPr="00965902" w:rsidRDefault="00EB407E" w:rsidP="005804A2">
            <w:pPr>
              <w:pStyle w:val="BodyText2"/>
              <w:jc w:val="center"/>
              <w:rPr>
                <w:rFonts w:cs="Arial"/>
                <w:b/>
                <w:iCs/>
                <w:color w:val="auto"/>
                <w:szCs w:val="22"/>
              </w:rPr>
            </w:pPr>
            <w:r w:rsidRPr="00965902">
              <w:rPr>
                <w:rFonts w:cs="Arial"/>
                <w:b/>
                <w:iCs/>
                <w:color w:val="auto"/>
                <w:szCs w:val="22"/>
              </w:rPr>
              <w:t>Up to 1</w:t>
            </w:r>
            <w:r w:rsidR="0041191D" w:rsidRPr="00965902">
              <w:rPr>
                <w:rFonts w:cs="Arial"/>
                <w:b/>
                <w:iCs/>
                <w:color w:val="auto"/>
                <w:szCs w:val="22"/>
              </w:rPr>
              <w:t xml:space="preserve"> years</w:t>
            </w:r>
          </w:p>
        </w:tc>
      </w:tr>
      <w:tr w:rsidR="008B0240" w:rsidRPr="00F63DE3" w:rsidTr="00D92E3B">
        <w:trPr>
          <w:trHeight w:val="330"/>
          <w:tblCellSpacing w:w="0" w:type="dxa"/>
        </w:trPr>
        <w:tc>
          <w:tcPr>
            <w:tcW w:w="3432" w:type="dxa"/>
            <w:tcBorders>
              <w:top w:val="single" w:sz="6" w:space="0" w:color="000000"/>
              <w:left w:val="single" w:sz="12" w:space="0" w:color="000000"/>
              <w:bottom w:val="single" w:sz="4" w:space="0" w:color="auto"/>
              <w:right w:val="single" w:sz="6" w:space="0" w:color="000000"/>
            </w:tcBorders>
            <w:shd w:val="clear" w:color="auto" w:fill="auto"/>
            <w:vAlign w:val="center"/>
          </w:tcPr>
          <w:p w:rsidR="008B0240" w:rsidRPr="00965902" w:rsidRDefault="008B0240" w:rsidP="002C26D7">
            <w:pPr>
              <w:pStyle w:val="BodyText2"/>
              <w:rPr>
                <w:rFonts w:cs="Arial"/>
                <w:b/>
                <w:iCs/>
                <w:color w:val="auto"/>
                <w:szCs w:val="22"/>
              </w:rPr>
            </w:pPr>
            <w:r w:rsidRPr="00965902">
              <w:rPr>
                <w:rFonts w:cs="Arial"/>
                <w:b/>
                <w:iCs/>
                <w:color w:val="auto"/>
                <w:szCs w:val="22"/>
              </w:rPr>
              <w:t>Money market Funds</w:t>
            </w:r>
            <w:r w:rsidR="00917347" w:rsidRPr="00965902">
              <w:rPr>
                <w:rFonts w:cs="Arial"/>
                <w:b/>
                <w:iCs/>
                <w:color w:val="auto"/>
                <w:szCs w:val="22"/>
              </w:rPr>
              <w:t xml:space="preserve"> (CNAV, LVNAV &amp; VNAV)</w:t>
            </w:r>
            <w:r w:rsidR="00CE0BF4" w:rsidRPr="00965902">
              <w:rPr>
                <w:rFonts w:cs="Arial"/>
                <w:b/>
                <w:iCs/>
                <w:color w:val="auto"/>
                <w:szCs w:val="22"/>
              </w:rPr>
              <w:t xml:space="preserve"> and </w:t>
            </w:r>
            <w:r w:rsidR="002C26D7" w:rsidRPr="00965902">
              <w:rPr>
                <w:rFonts w:cs="Arial"/>
                <w:b/>
                <w:iCs/>
                <w:color w:val="auto"/>
                <w:szCs w:val="22"/>
              </w:rPr>
              <w:t>Ultra Short Dated Bo</w:t>
            </w:r>
            <w:r w:rsidR="00CE0BF4" w:rsidRPr="00965902">
              <w:rPr>
                <w:rFonts w:cs="Arial"/>
                <w:b/>
                <w:iCs/>
                <w:color w:val="auto"/>
                <w:szCs w:val="22"/>
              </w:rPr>
              <w:t>nd</w:t>
            </w:r>
            <w:r w:rsidR="002C26D7" w:rsidRPr="00965902">
              <w:rPr>
                <w:rFonts w:cs="Arial"/>
                <w:b/>
                <w:iCs/>
                <w:color w:val="auto"/>
                <w:szCs w:val="22"/>
              </w:rPr>
              <w:t xml:space="preserve"> Funds</w:t>
            </w:r>
          </w:p>
        </w:tc>
        <w:tc>
          <w:tcPr>
            <w:tcW w:w="1638" w:type="dxa"/>
            <w:tcBorders>
              <w:top w:val="single" w:sz="6" w:space="0" w:color="000000"/>
              <w:left w:val="single" w:sz="6" w:space="0" w:color="000000"/>
              <w:bottom w:val="single" w:sz="4" w:space="0" w:color="auto"/>
              <w:right w:val="single" w:sz="6" w:space="0" w:color="000000"/>
            </w:tcBorders>
            <w:shd w:val="clear" w:color="auto" w:fill="auto"/>
            <w:vAlign w:val="center"/>
          </w:tcPr>
          <w:p w:rsidR="008B0240" w:rsidRPr="00965902" w:rsidRDefault="008B0240" w:rsidP="005804A2">
            <w:pPr>
              <w:pStyle w:val="BodyText2"/>
              <w:jc w:val="center"/>
              <w:rPr>
                <w:rFonts w:cs="Arial"/>
                <w:b/>
                <w:iCs/>
                <w:color w:val="auto"/>
                <w:szCs w:val="22"/>
              </w:rPr>
            </w:pPr>
            <w:r w:rsidRPr="00965902">
              <w:rPr>
                <w:rFonts w:cs="Arial"/>
                <w:b/>
                <w:iCs/>
                <w:color w:val="auto"/>
                <w:szCs w:val="22"/>
              </w:rPr>
              <w:t>AAA</w:t>
            </w:r>
          </w:p>
        </w:tc>
        <w:tc>
          <w:tcPr>
            <w:tcW w:w="1440" w:type="dxa"/>
            <w:tcBorders>
              <w:top w:val="single" w:sz="6" w:space="0" w:color="000000"/>
              <w:left w:val="single" w:sz="6" w:space="0" w:color="000000"/>
              <w:bottom w:val="single" w:sz="4" w:space="0" w:color="auto"/>
              <w:right w:val="single" w:sz="6" w:space="0" w:color="000000"/>
            </w:tcBorders>
            <w:shd w:val="clear" w:color="auto" w:fill="auto"/>
            <w:vAlign w:val="center"/>
          </w:tcPr>
          <w:p w:rsidR="008B0240" w:rsidRPr="00965902" w:rsidRDefault="00D41BF5" w:rsidP="005804A2">
            <w:pPr>
              <w:pStyle w:val="BodyText2"/>
              <w:jc w:val="center"/>
              <w:rPr>
                <w:rFonts w:cs="Arial"/>
                <w:b/>
                <w:iCs/>
                <w:color w:val="auto"/>
                <w:szCs w:val="22"/>
              </w:rPr>
            </w:pPr>
            <w:r w:rsidRPr="00965902">
              <w:rPr>
                <w:rFonts w:cs="Arial"/>
                <w:b/>
                <w:iCs/>
                <w:color w:val="auto"/>
                <w:szCs w:val="22"/>
              </w:rPr>
              <w:t>£5M</w:t>
            </w:r>
            <w:r w:rsidR="008B0240" w:rsidRPr="00965902">
              <w:rPr>
                <w:rFonts w:cs="Arial"/>
                <w:b/>
                <w:iCs/>
                <w:color w:val="auto"/>
                <w:szCs w:val="22"/>
              </w:rPr>
              <w:t xml:space="preserve"> </w:t>
            </w:r>
            <w:r w:rsidR="00CE0BF4" w:rsidRPr="00965902">
              <w:rPr>
                <w:rFonts w:cs="Arial"/>
                <w:b/>
                <w:iCs/>
                <w:color w:val="auto"/>
                <w:szCs w:val="22"/>
              </w:rPr>
              <w:t>per</w:t>
            </w:r>
            <w:r w:rsidR="008B0240" w:rsidRPr="00965902">
              <w:rPr>
                <w:rFonts w:cs="Arial"/>
                <w:b/>
                <w:iCs/>
                <w:color w:val="auto"/>
                <w:szCs w:val="22"/>
              </w:rPr>
              <w:t xml:space="preserve"> Fund</w:t>
            </w:r>
          </w:p>
        </w:tc>
        <w:tc>
          <w:tcPr>
            <w:tcW w:w="2880" w:type="dxa"/>
            <w:tcBorders>
              <w:top w:val="single" w:sz="6" w:space="0" w:color="000000"/>
              <w:left w:val="single" w:sz="6" w:space="0" w:color="000000"/>
              <w:bottom w:val="single" w:sz="4" w:space="0" w:color="auto"/>
              <w:right w:val="single" w:sz="12" w:space="0" w:color="000000"/>
            </w:tcBorders>
            <w:shd w:val="clear" w:color="auto" w:fill="auto"/>
            <w:vAlign w:val="center"/>
          </w:tcPr>
          <w:p w:rsidR="008B0240" w:rsidRPr="00965902" w:rsidRDefault="008B0240" w:rsidP="005804A2">
            <w:pPr>
              <w:pStyle w:val="BodyText2"/>
              <w:jc w:val="center"/>
              <w:rPr>
                <w:rFonts w:cs="Arial"/>
                <w:b/>
                <w:iCs/>
                <w:color w:val="auto"/>
                <w:szCs w:val="22"/>
              </w:rPr>
            </w:pPr>
            <w:r w:rsidRPr="00965902">
              <w:rPr>
                <w:rFonts w:cs="Arial"/>
                <w:b/>
                <w:iCs/>
                <w:color w:val="auto"/>
                <w:szCs w:val="22"/>
              </w:rPr>
              <w:t>liquid</w:t>
            </w:r>
          </w:p>
        </w:tc>
      </w:tr>
    </w:tbl>
    <w:p w:rsidR="007D455C" w:rsidRPr="000E70A9" w:rsidRDefault="007D455C" w:rsidP="005804A2">
      <w:pPr>
        <w:ind w:left="908"/>
        <w:rPr>
          <w:rFonts w:ascii="Arial" w:hAnsi="Arial" w:cs="Arial"/>
          <w:iCs/>
          <w:szCs w:val="22"/>
        </w:rPr>
      </w:pPr>
    </w:p>
    <w:p w:rsidR="000E70A9" w:rsidRPr="000E70A9" w:rsidRDefault="000E70A9" w:rsidP="00CE3C0B">
      <w:pPr>
        <w:numPr>
          <w:ilvl w:val="0"/>
          <w:numId w:val="9"/>
        </w:numPr>
        <w:ind w:left="426" w:hanging="426"/>
        <w:rPr>
          <w:rFonts w:ascii="Arial" w:hAnsi="Arial" w:cs="Arial"/>
          <w:noProof/>
          <w:szCs w:val="22"/>
        </w:rPr>
      </w:pPr>
      <w:r w:rsidRPr="000E70A9">
        <w:rPr>
          <w:rFonts w:ascii="Arial" w:hAnsi="Arial" w:cs="Arial"/>
          <w:noProof/>
          <w:szCs w:val="22"/>
        </w:rPr>
        <w:t xml:space="preserve">The Council will therefore use the following durational bands supplied by </w:t>
      </w:r>
      <w:r w:rsidR="000A0E48">
        <w:rPr>
          <w:rFonts w:ascii="Arial" w:hAnsi="Arial" w:cs="Arial"/>
          <w:noProof/>
          <w:szCs w:val="22"/>
        </w:rPr>
        <w:t xml:space="preserve">Link </w:t>
      </w:r>
      <w:r w:rsidR="00A84FD2">
        <w:rPr>
          <w:rFonts w:ascii="Arial" w:hAnsi="Arial" w:cs="Arial"/>
          <w:noProof/>
          <w:szCs w:val="22"/>
        </w:rPr>
        <w:t xml:space="preserve"> Asset Service’s</w:t>
      </w:r>
      <w:r w:rsidRPr="000E70A9">
        <w:rPr>
          <w:rFonts w:ascii="Arial" w:hAnsi="Arial" w:cs="Arial"/>
          <w:noProof/>
          <w:szCs w:val="22"/>
        </w:rPr>
        <w:t xml:space="preserve"> creditworthiness service when applying time limits to investments</w:t>
      </w:r>
    </w:p>
    <w:p w:rsidR="000E70A9" w:rsidRPr="000E70A9" w:rsidRDefault="000E70A9" w:rsidP="005804A2">
      <w:pPr>
        <w:rPr>
          <w:rFonts w:ascii="Arial" w:hAnsi="Arial" w:cs="Arial"/>
          <w:noProof/>
          <w:szCs w:val="22"/>
        </w:rPr>
      </w:pPr>
    </w:p>
    <w:p w:rsidR="000E70A9" w:rsidRPr="000E70A9" w:rsidRDefault="000E70A9" w:rsidP="00CE3C0B">
      <w:pPr>
        <w:numPr>
          <w:ilvl w:val="0"/>
          <w:numId w:val="13"/>
        </w:numPr>
        <w:rPr>
          <w:rFonts w:ascii="Arial" w:hAnsi="Arial" w:cs="Arial"/>
          <w:noProof/>
          <w:sz w:val="22"/>
          <w:szCs w:val="22"/>
        </w:rPr>
      </w:pPr>
      <w:r w:rsidRPr="000E70A9">
        <w:rPr>
          <w:rFonts w:ascii="Arial" w:hAnsi="Arial" w:cs="Arial"/>
          <w:noProof/>
          <w:sz w:val="22"/>
          <w:szCs w:val="22"/>
        </w:rPr>
        <w:t>Yellow</w:t>
      </w:r>
      <w:r w:rsidRPr="000E70A9">
        <w:rPr>
          <w:rFonts w:ascii="Arial" w:hAnsi="Arial" w:cs="Arial"/>
          <w:noProof/>
          <w:sz w:val="22"/>
          <w:szCs w:val="22"/>
        </w:rPr>
        <w:tab/>
      </w:r>
      <w:r w:rsidR="000A0E48">
        <w:rPr>
          <w:rFonts w:ascii="Arial" w:hAnsi="Arial" w:cs="Arial"/>
          <w:noProof/>
          <w:sz w:val="22"/>
          <w:szCs w:val="22"/>
        </w:rPr>
        <w:t>Maximum 2</w:t>
      </w:r>
      <w:r w:rsidRPr="000E70A9">
        <w:rPr>
          <w:rFonts w:ascii="Arial" w:hAnsi="Arial" w:cs="Arial"/>
          <w:noProof/>
          <w:sz w:val="22"/>
          <w:szCs w:val="22"/>
        </w:rPr>
        <w:t xml:space="preserve"> years *This only relates to AAA rated government debt or its equivalent</w:t>
      </w:r>
    </w:p>
    <w:p w:rsidR="000E70A9" w:rsidRPr="000E70A9" w:rsidRDefault="000E70A9" w:rsidP="00CE3C0B">
      <w:pPr>
        <w:numPr>
          <w:ilvl w:val="0"/>
          <w:numId w:val="13"/>
        </w:numPr>
        <w:rPr>
          <w:rFonts w:ascii="Arial" w:hAnsi="Arial" w:cs="Arial"/>
          <w:noProof/>
          <w:sz w:val="22"/>
          <w:szCs w:val="22"/>
        </w:rPr>
      </w:pPr>
      <w:r w:rsidRPr="000E70A9">
        <w:rPr>
          <w:rFonts w:ascii="Arial" w:hAnsi="Arial" w:cs="Arial"/>
          <w:noProof/>
          <w:sz w:val="22"/>
          <w:szCs w:val="22"/>
        </w:rPr>
        <w:t xml:space="preserve">Purple </w:t>
      </w:r>
      <w:r w:rsidRPr="000E70A9">
        <w:rPr>
          <w:rFonts w:ascii="Arial" w:hAnsi="Arial" w:cs="Arial"/>
          <w:noProof/>
          <w:sz w:val="22"/>
          <w:szCs w:val="22"/>
        </w:rPr>
        <w:tab/>
      </w:r>
      <w:r w:rsidR="000A0E48">
        <w:rPr>
          <w:rFonts w:ascii="Arial" w:hAnsi="Arial" w:cs="Arial"/>
          <w:noProof/>
          <w:sz w:val="22"/>
          <w:szCs w:val="22"/>
        </w:rPr>
        <w:t xml:space="preserve">Maximum </w:t>
      </w:r>
      <w:r w:rsidRPr="000E70A9">
        <w:rPr>
          <w:rFonts w:ascii="Arial" w:hAnsi="Arial" w:cs="Arial"/>
          <w:noProof/>
          <w:sz w:val="22"/>
          <w:szCs w:val="22"/>
        </w:rPr>
        <w:t>2 years</w:t>
      </w:r>
    </w:p>
    <w:p w:rsidR="000E70A9" w:rsidRPr="000E70A9" w:rsidRDefault="000E70A9" w:rsidP="00CE3C0B">
      <w:pPr>
        <w:numPr>
          <w:ilvl w:val="0"/>
          <w:numId w:val="13"/>
        </w:numPr>
        <w:rPr>
          <w:rFonts w:ascii="Arial" w:hAnsi="Arial" w:cs="Arial"/>
          <w:noProof/>
          <w:sz w:val="22"/>
          <w:szCs w:val="22"/>
        </w:rPr>
      </w:pPr>
      <w:r w:rsidRPr="000E70A9">
        <w:rPr>
          <w:rFonts w:ascii="Arial" w:hAnsi="Arial" w:cs="Arial"/>
          <w:noProof/>
          <w:sz w:val="22"/>
          <w:szCs w:val="22"/>
        </w:rPr>
        <w:t xml:space="preserve">Blue </w:t>
      </w:r>
      <w:r w:rsidR="003639E1">
        <w:rPr>
          <w:rFonts w:ascii="Arial" w:hAnsi="Arial" w:cs="Arial"/>
          <w:noProof/>
          <w:sz w:val="22"/>
          <w:szCs w:val="22"/>
        </w:rPr>
        <w:tab/>
      </w:r>
      <w:r w:rsidRPr="000E70A9">
        <w:rPr>
          <w:rFonts w:ascii="Arial" w:hAnsi="Arial" w:cs="Arial"/>
          <w:noProof/>
          <w:sz w:val="22"/>
          <w:szCs w:val="22"/>
        </w:rPr>
        <w:t>1 year (only applies to nationalised or semi nationalised UK Banks)</w:t>
      </w:r>
    </w:p>
    <w:p w:rsidR="000E70A9" w:rsidRPr="000E70A9" w:rsidRDefault="000E70A9" w:rsidP="00CE3C0B">
      <w:pPr>
        <w:numPr>
          <w:ilvl w:val="0"/>
          <w:numId w:val="13"/>
        </w:numPr>
        <w:rPr>
          <w:rFonts w:ascii="Arial" w:hAnsi="Arial" w:cs="Arial"/>
          <w:noProof/>
          <w:sz w:val="22"/>
          <w:szCs w:val="22"/>
        </w:rPr>
      </w:pPr>
      <w:r w:rsidRPr="000E70A9">
        <w:rPr>
          <w:rFonts w:ascii="Arial" w:hAnsi="Arial" w:cs="Arial"/>
          <w:noProof/>
          <w:sz w:val="22"/>
          <w:szCs w:val="22"/>
        </w:rPr>
        <w:t>Orange</w:t>
      </w:r>
      <w:r w:rsidRPr="000E70A9">
        <w:rPr>
          <w:rFonts w:ascii="Arial" w:hAnsi="Arial" w:cs="Arial"/>
          <w:noProof/>
          <w:sz w:val="22"/>
          <w:szCs w:val="22"/>
        </w:rPr>
        <w:tab/>
        <w:t>1 year</w:t>
      </w:r>
    </w:p>
    <w:p w:rsidR="000E70A9" w:rsidRPr="000E70A9" w:rsidRDefault="000E70A9" w:rsidP="00CE3C0B">
      <w:pPr>
        <w:numPr>
          <w:ilvl w:val="0"/>
          <w:numId w:val="13"/>
        </w:numPr>
        <w:rPr>
          <w:rFonts w:ascii="Arial" w:hAnsi="Arial" w:cs="Arial"/>
          <w:noProof/>
          <w:sz w:val="22"/>
          <w:szCs w:val="22"/>
        </w:rPr>
      </w:pPr>
      <w:r w:rsidRPr="000E70A9">
        <w:rPr>
          <w:rFonts w:ascii="Arial" w:hAnsi="Arial" w:cs="Arial"/>
          <w:noProof/>
          <w:sz w:val="22"/>
          <w:szCs w:val="22"/>
        </w:rPr>
        <w:t xml:space="preserve">Red </w:t>
      </w:r>
      <w:r w:rsidRPr="000E70A9">
        <w:rPr>
          <w:rFonts w:ascii="Arial" w:hAnsi="Arial" w:cs="Arial"/>
          <w:noProof/>
          <w:sz w:val="22"/>
          <w:szCs w:val="22"/>
        </w:rPr>
        <w:tab/>
        <w:t>6 months</w:t>
      </w:r>
    </w:p>
    <w:p w:rsidR="0029601A" w:rsidRPr="0029601A" w:rsidRDefault="000E70A9" w:rsidP="00CE3C0B">
      <w:pPr>
        <w:numPr>
          <w:ilvl w:val="0"/>
          <w:numId w:val="13"/>
        </w:numPr>
        <w:rPr>
          <w:rFonts w:ascii="Arial" w:hAnsi="Arial" w:cs="Arial"/>
          <w:noProof/>
          <w:sz w:val="22"/>
          <w:szCs w:val="22"/>
        </w:rPr>
      </w:pPr>
      <w:r w:rsidRPr="0029601A">
        <w:rPr>
          <w:rFonts w:ascii="Arial" w:hAnsi="Arial" w:cs="Arial"/>
          <w:noProof/>
          <w:sz w:val="22"/>
          <w:szCs w:val="22"/>
        </w:rPr>
        <w:t xml:space="preserve">Green </w:t>
      </w:r>
      <w:r w:rsidRPr="0029601A">
        <w:rPr>
          <w:rFonts w:ascii="Arial" w:hAnsi="Arial" w:cs="Arial"/>
          <w:noProof/>
          <w:sz w:val="22"/>
          <w:szCs w:val="22"/>
        </w:rPr>
        <w:tab/>
        <w:t xml:space="preserve">3 months </w:t>
      </w:r>
    </w:p>
    <w:p w:rsidR="002A52A0" w:rsidRPr="0029601A" w:rsidRDefault="002A52A0" w:rsidP="005804A2">
      <w:pPr>
        <w:rPr>
          <w:rFonts w:ascii="Arial" w:hAnsi="Arial" w:cs="Arial"/>
          <w:bCs/>
          <w:szCs w:val="22"/>
        </w:rPr>
      </w:pPr>
    </w:p>
    <w:p w:rsidR="007D455C" w:rsidRDefault="00956E51" w:rsidP="005804A2">
      <w:pPr>
        <w:rPr>
          <w:rFonts w:ascii="Arial" w:hAnsi="Arial" w:cs="Arial"/>
          <w:szCs w:val="22"/>
        </w:rPr>
      </w:pPr>
      <w:r>
        <w:rPr>
          <w:rFonts w:ascii="Arial" w:hAnsi="Arial" w:cs="Arial"/>
          <w:b/>
          <w:bCs/>
          <w:szCs w:val="22"/>
        </w:rPr>
        <w:br w:type="page"/>
      </w:r>
      <w:r w:rsidR="000E70A9" w:rsidRPr="000E70A9">
        <w:rPr>
          <w:rFonts w:ascii="Arial" w:hAnsi="Arial" w:cs="Arial"/>
          <w:b/>
          <w:bCs/>
          <w:szCs w:val="22"/>
        </w:rPr>
        <w:lastRenderedPageBreak/>
        <w:t>Non-Specified Investments</w:t>
      </w:r>
      <w:r w:rsidR="007D455C">
        <w:rPr>
          <w:rFonts w:ascii="Arial" w:hAnsi="Arial" w:cs="Arial"/>
          <w:szCs w:val="22"/>
        </w:rPr>
        <w:t xml:space="preserve"> </w:t>
      </w:r>
    </w:p>
    <w:p w:rsidR="0029601A" w:rsidRPr="000E70A9" w:rsidRDefault="0029601A" w:rsidP="005804A2">
      <w:pPr>
        <w:rPr>
          <w:rFonts w:ascii="Arial" w:hAnsi="Arial" w:cs="Arial"/>
          <w:szCs w:val="22"/>
        </w:rPr>
      </w:pPr>
    </w:p>
    <w:p w:rsidR="000E70A9" w:rsidRPr="000E70A9" w:rsidRDefault="000E70A9" w:rsidP="00CE3C0B">
      <w:pPr>
        <w:numPr>
          <w:ilvl w:val="0"/>
          <w:numId w:val="9"/>
        </w:numPr>
        <w:ind w:left="426" w:hanging="426"/>
        <w:rPr>
          <w:rFonts w:ascii="Arial" w:hAnsi="Arial" w:cs="Arial"/>
          <w:szCs w:val="22"/>
        </w:rPr>
      </w:pPr>
      <w:r w:rsidRPr="000E70A9">
        <w:rPr>
          <w:rFonts w:ascii="Arial" w:hAnsi="Arial" w:cs="Arial"/>
          <w:szCs w:val="22"/>
        </w:rPr>
        <w:t>Non-specified investments are any other type of investment (i.e. not defined as Specified above).  The identification and rationale supporting the selection of these other investments and the maximum limits to be applied are set out below.  Non specified investments would include any sterling investments with:</w:t>
      </w:r>
    </w:p>
    <w:p w:rsidR="000E70A9" w:rsidRPr="000E70A9" w:rsidRDefault="000E70A9" w:rsidP="005804A2">
      <w:pPr>
        <w:rPr>
          <w:rFonts w:ascii="Arial" w:hAnsi="Arial" w:cs="Arial"/>
          <w:iCs/>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88"/>
        <w:gridCol w:w="7645"/>
        <w:gridCol w:w="1247"/>
      </w:tblGrid>
      <w:tr w:rsidR="000E70A9" w:rsidRPr="000E70A9" w:rsidTr="00192785">
        <w:tc>
          <w:tcPr>
            <w:tcW w:w="288" w:type="dxa"/>
          </w:tcPr>
          <w:p w:rsidR="000E70A9" w:rsidRPr="000E70A9" w:rsidRDefault="000E70A9" w:rsidP="005804A2">
            <w:pPr>
              <w:rPr>
                <w:rFonts w:ascii="Arial" w:hAnsi="Arial" w:cs="Arial"/>
                <w:b/>
                <w:iCs/>
                <w:szCs w:val="22"/>
              </w:rPr>
            </w:pPr>
          </w:p>
        </w:tc>
        <w:tc>
          <w:tcPr>
            <w:tcW w:w="7645" w:type="dxa"/>
          </w:tcPr>
          <w:p w:rsidR="000E70A9" w:rsidRPr="000E70A9" w:rsidRDefault="000E70A9" w:rsidP="005804A2">
            <w:pPr>
              <w:rPr>
                <w:rFonts w:ascii="Arial" w:hAnsi="Arial" w:cs="Arial"/>
                <w:b/>
                <w:iCs/>
                <w:szCs w:val="22"/>
              </w:rPr>
            </w:pPr>
            <w:r w:rsidRPr="000E70A9">
              <w:rPr>
                <w:rFonts w:ascii="Arial" w:hAnsi="Arial" w:cs="Arial"/>
                <w:b/>
                <w:iCs/>
                <w:szCs w:val="22"/>
              </w:rPr>
              <w:t>Non Specified Investment Category</w:t>
            </w:r>
          </w:p>
        </w:tc>
        <w:tc>
          <w:tcPr>
            <w:tcW w:w="1247" w:type="dxa"/>
          </w:tcPr>
          <w:p w:rsidR="000E70A9" w:rsidRPr="000E70A9" w:rsidRDefault="000E70A9" w:rsidP="005804A2">
            <w:pPr>
              <w:rPr>
                <w:rFonts w:ascii="Arial" w:hAnsi="Arial" w:cs="Arial"/>
                <w:b/>
                <w:iCs/>
                <w:szCs w:val="22"/>
              </w:rPr>
            </w:pPr>
            <w:r w:rsidRPr="000E70A9">
              <w:rPr>
                <w:rFonts w:ascii="Arial" w:hAnsi="Arial" w:cs="Arial"/>
                <w:b/>
                <w:iCs/>
                <w:szCs w:val="22"/>
              </w:rPr>
              <w:t>Limit (£ or %)</w:t>
            </w:r>
          </w:p>
        </w:tc>
      </w:tr>
      <w:tr w:rsidR="000E70A9" w:rsidRPr="000E70A9" w:rsidTr="00192785">
        <w:tc>
          <w:tcPr>
            <w:tcW w:w="288" w:type="dxa"/>
          </w:tcPr>
          <w:p w:rsidR="000E70A9" w:rsidRPr="000E70A9" w:rsidRDefault="000E70A9" w:rsidP="00CE3C0B">
            <w:pPr>
              <w:numPr>
                <w:ilvl w:val="1"/>
                <w:numId w:val="6"/>
              </w:numPr>
              <w:overflowPunct/>
              <w:autoSpaceDE/>
              <w:autoSpaceDN/>
              <w:adjustRightInd/>
              <w:ind w:left="0" w:firstLine="0"/>
              <w:textAlignment w:val="auto"/>
              <w:rPr>
                <w:rFonts w:ascii="Arial" w:hAnsi="Arial" w:cs="Arial"/>
                <w:iCs/>
                <w:szCs w:val="22"/>
              </w:rPr>
            </w:pPr>
          </w:p>
        </w:tc>
        <w:tc>
          <w:tcPr>
            <w:tcW w:w="7645" w:type="dxa"/>
          </w:tcPr>
          <w:p w:rsidR="000E70A9" w:rsidRPr="000E70A9" w:rsidRDefault="000E70A9" w:rsidP="005804A2">
            <w:pPr>
              <w:rPr>
                <w:rFonts w:ascii="Arial" w:hAnsi="Arial" w:cs="Arial"/>
                <w:b/>
                <w:iCs/>
                <w:szCs w:val="22"/>
              </w:rPr>
            </w:pPr>
            <w:r w:rsidRPr="000E70A9">
              <w:rPr>
                <w:rFonts w:ascii="Arial" w:hAnsi="Arial" w:cs="Arial"/>
                <w:b/>
                <w:iCs/>
                <w:szCs w:val="22"/>
              </w:rPr>
              <w:t>Supranational Bonds greater than 1 year to maturity</w:t>
            </w:r>
          </w:p>
          <w:p w:rsidR="000E70A9" w:rsidRPr="000E70A9" w:rsidRDefault="000E70A9" w:rsidP="005804A2">
            <w:pPr>
              <w:rPr>
                <w:rFonts w:ascii="Arial" w:hAnsi="Arial" w:cs="Arial"/>
                <w:szCs w:val="22"/>
              </w:rPr>
            </w:pPr>
            <w:r w:rsidRPr="000E70A9">
              <w:rPr>
                <w:rFonts w:ascii="Arial" w:hAnsi="Arial" w:cs="Arial"/>
                <w:b/>
                <w:iCs/>
                <w:szCs w:val="22"/>
              </w:rPr>
              <w:t>(a) Multilateral development bank</w:t>
            </w:r>
            <w:r w:rsidRPr="000E70A9">
              <w:rPr>
                <w:rFonts w:ascii="Arial" w:hAnsi="Arial" w:cs="Arial"/>
                <w:b/>
                <w:i/>
                <w:iCs/>
                <w:szCs w:val="22"/>
              </w:rPr>
              <w:t xml:space="preserve"> </w:t>
            </w:r>
            <w:r w:rsidRPr="000E70A9">
              <w:rPr>
                <w:rFonts w:ascii="Arial" w:hAnsi="Arial" w:cs="Arial"/>
                <w:b/>
                <w:iCs/>
                <w:szCs w:val="22"/>
              </w:rPr>
              <w:t>bonds</w:t>
            </w:r>
            <w:r w:rsidRPr="000E70A9">
              <w:rPr>
                <w:rFonts w:ascii="Arial" w:hAnsi="Arial" w:cs="Arial"/>
                <w:iCs/>
                <w:szCs w:val="22"/>
              </w:rPr>
              <w:t xml:space="preserve"> - </w:t>
            </w:r>
            <w:r w:rsidRPr="000E70A9">
              <w:rPr>
                <w:rFonts w:ascii="Arial" w:hAnsi="Arial" w:cs="Arial"/>
                <w:szCs w:val="22"/>
              </w:rPr>
              <w:t xml:space="preserve">These are bonds defined as an international financial institution having as one of its objects economic development, either generally or in any region of the world (e.g. European </w:t>
            </w:r>
            <w:r w:rsidR="007030FE">
              <w:rPr>
                <w:rFonts w:ascii="Arial" w:hAnsi="Arial" w:cs="Arial"/>
                <w:szCs w:val="22"/>
              </w:rPr>
              <w:t>Reconstruction</w:t>
            </w:r>
            <w:r w:rsidR="004D00C0">
              <w:rPr>
                <w:rFonts w:ascii="Arial" w:hAnsi="Arial" w:cs="Arial"/>
                <w:szCs w:val="22"/>
              </w:rPr>
              <w:t xml:space="preserve"> and Development</w:t>
            </w:r>
            <w:r w:rsidRPr="000E70A9">
              <w:rPr>
                <w:rFonts w:ascii="Arial" w:hAnsi="Arial" w:cs="Arial"/>
                <w:szCs w:val="22"/>
              </w:rPr>
              <w:t xml:space="preserve"> Bank etc.).  </w:t>
            </w:r>
          </w:p>
          <w:p w:rsidR="000E70A9" w:rsidRDefault="000E70A9" w:rsidP="005804A2">
            <w:pPr>
              <w:rPr>
                <w:rFonts w:ascii="Arial" w:hAnsi="Arial" w:cs="Arial"/>
                <w:szCs w:val="22"/>
              </w:rPr>
            </w:pPr>
            <w:r w:rsidRPr="000E70A9">
              <w:rPr>
                <w:rFonts w:ascii="Arial" w:hAnsi="Arial" w:cs="Arial"/>
                <w:b/>
                <w:szCs w:val="22"/>
              </w:rPr>
              <w:t>(b)</w:t>
            </w:r>
            <w:r w:rsidRPr="000E70A9">
              <w:rPr>
                <w:rFonts w:ascii="Arial" w:hAnsi="Arial" w:cs="Arial"/>
                <w:szCs w:val="22"/>
              </w:rPr>
              <w:t xml:space="preserve"> </w:t>
            </w:r>
            <w:r w:rsidRPr="000E70A9">
              <w:rPr>
                <w:rFonts w:ascii="Arial" w:hAnsi="Arial" w:cs="Arial"/>
                <w:b/>
                <w:szCs w:val="22"/>
              </w:rPr>
              <w:t>A financial institution that is guaranteed by the United Kingdom Government</w:t>
            </w:r>
            <w:r w:rsidRPr="000E70A9">
              <w:rPr>
                <w:rFonts w:ascii="Arial" w:hAnsi="Arial" w:cs="Arial"/>
                <w:szCs w:val="22"/>
              </w:rPr>
              <w:t xml:space="preserve"> (e.g.</w:t>
            </w:r>
            <w:r w:rsidR="004D00C0">
              <w:rPr>
                <w:rFonts w:ascii="Arial" w:hAnsi="Arial" w:cs="Arial"/>
                <w:szCs w:val="22"/>
              </w:rPr>
              <w:t xml:space="preserve"> National Rail,</w:t>
            </w:r>
            <w:r w:rsidRPr="000E70A9">
              <w:rPr>
                <w:rFonts w:ascii="Arial" w:hAnsi="Arial" w:cs="Arial"/>
                <w:szCs w:val="22"/>
              </w:rPr>
              <w:t xml:space="preserve"> The Guaranteed Export Finance Company {GEFCO})</w:t>
            </w:r>
          </w:p>
          <w:p w:rsidR="004D00C0" w:rsidRDefault="004D00C0" w:rsidP="005804A2">
            <w:pPr>
              <w:rPr>
                <w:rFonts w:ascii="Arial" w:hAnsi="Arial" w:cs="Arial"/>
                <w:szCs w:val="22"/>
              </w:rPr>
            </w:pPr>
          </w:p>
          <w:p w:rsidR="004D00C0" w:rsidRPr="000E70A9" w:rsidRDefault="004D00C0" w:rsidP="005804A2">
            <w:pPr>
              <w:rPr>
                <w:rFonts w:ascii="Arial" w:hAnsi="Arial" w:cs="Arial"/>
                <w:szCs w:val="22"/>
              </w:rPr>
            </w:pPr>
            <w:r>
              <w:rPr>
                <w:rFonts w:ascii="Arial" w:hAnsi="Arial" w:cs="Arial"/>
                <w:szCs w:val="22"/>
              </w:rPr>
              <w:t xml:space="preserve">The security of interest and principal on maturity is on a par with the Government and so very secure. These bonds usually provide returns above equivalent gilt edged securities. However the value of the bond may rise or fall before maturity and losses may accrue if the bond is sold before maturity. </w:t>
            </w:r>
          </w:p>
          <w:p w:rsidR="000E70A9" w:rsidRPr="000E70A9" w:rsidRDefault="000E70A9" w:rsidP="005804A2">
            <w:pPr>
              <w:rPr>
                <w:rFonts w:ascii="Arial" w:hAnsi="Arial" w:cs="Arial"/>
                <w:iCs/>
                <w:szCs w:val="22"/>
              </w:rPr>
            </w:pPr>
          </w:p>
        </w:tc>
        <w:tc>
          <w:tcPr>
            <w:tcW w:w="1247" w:type="dxa"/>
          </w:tcPr>
          <w:p w:rsidR="000E70A9" w:rsidRPr="000E70A9" w:rsidRDefault="000E70A9" w:rsidP="005804A2">
            <w:pPr>
              <w:rPr>
                <w:rFonts w:ascii="Arial" w:hAnsi="Arial" w:cs="Arial"/>
                <w:iCs/>
                <w:szCs w:val="22"/>
              </w:rPr>
            </w:pPr>
            <w:r w:rsidRPr="000E70A9">
              <w:rPr>
                <w:rFonts w:ascii="Arial" w:hAnsi="Arial" w:cs="Arial"/>
                <w:iCs/>
                <w:szCs w:val="22"/>
              </w:rPr>
              <w:t>AAA long term ratings</w:t>
            </w:r>
          </w:p>
        </w:tc>
      </w:tr>
      <w:tr w:rsidR="000E70A9" w:rsidRPr="000E70A9" w:rsidTr="00192785">
        <w:tc>
          <w:tcPr>
            <w:tcW w:w="288" w:type="dxa"/>
          </w:tcPr>
          <w:p w:rsidR="000E70A9" w:rsidRPr="000E70A9" w:rsidRDefault="000E70A9" w:rsidP="00CE3C0B">
            <w:pPr>
              <w:numPr>
                <w:ilvl w:val="1"/>
                <w:numId w:val="6"/>
              </w:numPr>
              <w:overflowPunct/>
              <w:autoSpaceDE/>
              <w:autoSpaceDN/>
              <w:adjustRightInd/>
              <w:ind w:left="0" w:firstLine="0"/>
              <w:textAlignment w:val="auto"/>
              <w:rPr>
                <w:rFonts w:ascii="Arial" w:hAnsi="Arial" w:cs="Arial"/>
                <w:szCs w:val="22"/>
              </w:rPr>
            </w:pPr>
          </w:p>
        </w:tc>
        <w:tc>
          <w:tcPr>
            <w:tcW w:w="7645" w:type="dxa"/>
          </w:tcPr>
          <w:p w:rsidR="004D00C0" w:rsidRDefault="000E70A9" w:rsidP="005804A2">
            <w:pPr>
              <w:rPr>
                <w:rFonts w:ascii="Arial" w:hAnsi="Arial" w:cs="Arial"/>
                <w:szCs w:val="22"/>
              </w:rPr>
            </w:pPr>
            <w:r w:rsidRPr="000E70A9">
              <w:rPr>
                <w:rFonts w:ascii="Arial" w:hAnsi="Arial" w:cs="Arial"/>
                <w:b/>
                <w:szCs w:val="22"/>
              </w:rPr>
              <w:t>Gilt edged securities</w:t>
            </w:r>
            <w:r w:rsidRPr="000E70A9">
              <w:rPr>
                <w:rFonts w:ascii="Arial" w:hAnsi="Arial" w:cs="Arial"/>
                <w:szCs w:val="22"/>
              </w:rPr>
              <w:t xml:space="preserve"> with a maturity of greater than one year. </w:t>
            </w:r>
          </w:p>
          <w:p w:rsidR="000E70A9" w:rsidRPr="000E70A9" w:rsidRDefault="000E70A9" w:rsidP="005804A2">
            <w:pPr>
              <w:rPr>
                <w:rFonts w:ascii="Arial" w:hAnsi="Arial" w:cs="Arial"/>
                <w:iCs/>
                <w:szCs w:val="22"/>
              </w:rPr>
            </w:pPr>
            <w:r w:rsidRPr="000E70A9">
              <w:rPr>
                <w:rFonts w:ascii="Arial" w:hAnsi="Arial" w:cs="Arial"/>
                <w:szCs w:val="22"/>
              </w:rPr>
              <w:t xml:space="preserve"> </w:t>
            </w:r>
            <w:r w:rsidR="004D00C0" w:rsidRPr="004D00C0">
              <w:rPr>
                <w:rFonts w:ascii="Arial" w:hAnsi="Arial" w:cs="Arial"/>
                <w:szCs w:val="22"/>
              </w:rPr>
              <w:t>These are Government bonds and so provide the highest security of interest and the repayment of principal on maturity. Similar to category (a) above, the value of the bond may rise or fall before maturity and losses may accrue if the bond is sold before maturity</w:t>
            </w:r>
            <w:r w:rsidR="004D00C0">
              <w:rPr>
                <w:rFonts w:ascii="Arial" w:hAnsi="Arial" w:cs="Arial"/>
                <w:szCs w:val="22"/>
              </w:rPr>
              <w:t>.</w:t>
            </w:r>
          </w:p>
        </w:tc>
        <w:tc>
          <w:tcPr>
            <w:tcW w:w="1247" w:type="dxa"/>
          </w:tcPr>
          <w:p w:rsidR="000E70A9" w:rsidRPr="000E70A9" w:rsidRDefault="000E70A9" w:rsidP="005804A2">
            <w:pPr>
              <w:rPr>
                <w:rFonts w:ascii="Arial" w:hAnsi="Arial" w:cs="Arial"/>
                <w:iCs/>
                <w:szCs w:val="22"/>
              </w:rPr>
            </w:pPr>
          </w:p>
        </w:tc>
      </w:tr>
      <w:tr w:rsidR="000E70A9" w:rsidRPr="000E70A9" w:rsidTr="00192785">
        <w:tc>
          <w:tcPr>
            <w:tcW w:w="288" w:type="dxa"/>
          </w:tcPr>
          <w:p w:rsidR="000E70A9" w:rsidRPr="000E70A9" w:rsidRDefault="000E70A9" w:rsidP="00CE3C0B">
            <w:pPr>
              <w:numPr>
                <w:ilvl w:val="1"/>
                <w:numId w:val="6"/>
              </w:numPr>
              <w:overflowPunct/>
              <w:autoSpaceDE/>
              <w:autoSpaceDN/>
              <w:adjustRightInd/>
              <w:ind w:left="0" w:firstLine="0"/>
              <w:textAlignment w:val="auto"/>
              <w:rPr>
                <w:rFonts w:ascii="Arial" w:hAnsi="Arial" w:cs="Arial"/>
                <w:szCs w:val="22"/>
              </w:rPr>
            </w:pPr>
          </w:p>
        </w:tc>
        <w:tc>
          <w:tcPr>
            <w:tcW w:w="7645" w:type="dxa"/>
          </w:tcPr>
          <w:p w:rsidR="000E70A9" w:rsidRPr="000E70A9" w:rsidRDefault="000E70A9" w:rsidP="005804A2">
            <w:pPr>
              <w:pStyle w:val="BodyText"/>
              <w:spacing w:after="0"/>
              <w:rPr>
                <w:rFonts w:ascii="Arial" w:hAnsi="Arial" w:cs="Arial"/>
                <w:b/>
                <w:iCs/>
                <w:szCs w:val="22"/>
              </w:rPr>
            </w:pPr>
            <w:r w:rsidRPr="000E70A9">
              <w:rPr>
                <w:rFonts w:ascii="Arial" w:hAnsi="Arial" w:cs="Arial"/>
                <w:b/>
                <w:iCs/>
                <w:szCs w:val="22"/>
              </w:rPr>
              <w:t xml:space="preserve">The Council’s own banker </w:t>
            </w:r>
            <w:r w:rsidRPr="004D00C0">
              <w:rPr>
                <w:rFonts w:ascii="Arial" w:hAnsi="Arial" w:cs="Arial"/>
                <w:iCs/>
                <w:szCs w:val="22"/>
              </w:rPr>
              <w:t>if it fails to meet the basic credit criteria.  In this instance balances will be minimised as far as is possible.</w:t>
            </w:r>
          </w:p>
        </w:tc>
        <w:tc>
          <w:tcPr>
            <w:tcW w:w="1247" w:type="dxa"/>
          </w:tcPr>
          <w:p w:rsidR="000E70A9" w:rsidRPr="000E70A9" w:rsidRDefault="000E70A9" w:rsidP="005804A2">
            <w:pPr>
              <w:rPr>
                <w:rFonts w:ascii="Arial" w:hAnsi="Arial" w:cs="Arial"/>
                <w:iCs/>
                <w:szCs w:val="22"/>
              </w:rPr>
            </w:pPr>
            <w:r w:rsidRPr="000E70A9">
              <w:rPr>
                <w:rFonts w:ascii="Arial" w:hAnsi="Arial" w:cs="Arial"/>
                <w:iCs/>
                <w:szCs w:val="22"/>
              </w:rPr>
              <w:t>£3</w:t>
            </w:r>
            <w:r w:rsidR="002C3445">
              <w:rPr>
                <w:rFonts w:ascii="Arial" w:hAnsi="Arial" w:cs="Arial"/>
                <w:iCs/>
                <w:szCs w:val="22"/>
              </w:rPr>
              <w:t>m</w:t>
            </w:r>
          </w:p>
        </w:tc>
      </w:tr>
      <w:tr w:rsidR="000E70A9" w:rsidRPr="000E70A9" w:rsidTr="00192785">
        <w:tc>
          <w:tcPr>
            <w:tcW w:w="288" w:type="dxa"/>
          </w:tcPr>
          <w:p w:rsidR="000E70A9" w:rsidRPr="000E70A9" w:rsidRDefault="000E70A9" w:rsidP="00CE3C0B">
            <w:pPr>
              <w:numPr>
                <w:ilvl w:val="1"/>
                <w:numId w:val="6"/>
              </w:numPr>
              <w:overflowPunct/>
              <w:autoSpaceDE/>
              <w:autoSpaceDN/>
              <w:adjustRightInd/>
              <w:ind w:left="0" w:firstLine="0"/>
              <w:textAlignment w:val="auto"/>
              <w:rPr>
                <w:rFonts w:ascii="Arial" w:hAnsi="Arial" w:cs="Arial"/>
                <w:szCs w:val="22"/>
              </w:rPr>
            </w:pPr>
          </w:p>
        </w:tc>
        <w:tc>
          <w:tcPr>
            <w:tcW w:w="7645" w:type="dxa"/>
          </w:tcPr>
          <w:p w:rsidR="000E70A9" w:rsidRPr="001D7D14" w:rsidRDefault="004D00C0" w:rsidP="00A97F4F">
            <w:pPr>
              <w:rPr>
                <w:rFonts w:ascii="Arial" w:hAnsi="Arial" w:cs="Arial"/>
                <w:iCs/>
                <w:szCs w:val="24"/>
              </w:rPr>
            </w:pPr>
            <w:r w:rsidRPr="001D7D14">
              <w:rPr>
                <w:rFonts w:ascii="Arial" w:hAnsi="Arial" w:cs="Arial"/>
                <w:b/>
                <w:szCs w:val="24"/>
              </w:rPr>
              <w:t>Building societies not meeting the basic security requirements under the specified investments</w:t>
            </w:r>
            <w:r w:rsidRPr="001D7D14">
              <w:rPr>
                <w:rFonts w:ascii="Arial" w:hAnsi="Arial" w:cs="Arial"/>
                <w:szCs w:val="24"/>
              </w:rPr>
              <w:t xml:space="preserve">.  The operation of some building societies does not require a credit rating, although in every other respect the security of the society would match similarly sized societies with ratings.  </w:t>
            </w:r>
          </w:p>
        </w:tc>
        <w:tc>
          <w:tcPr>
            <w:tcW w:w="1247" w:type="dxa"/>
          </w:tcPr>
          <w:p w:rsidR="000E70A9" w:rsidRPr="000E70A9" w:rsidRDefault="002127BD" w:rsidP="005804A2">
            <w:pPr>
              <w:rPr>
                <w:rFonts w:ascii="Arial" w:hAnsi="Arial" w:cs="Arial"/>
                <w:iCs/>
                <w:szCs w:val="22"/>
              </w:rPr>
            </w:pPr>
            <w:r>
              <w:rPr>
                <w:rFonts w:ascii="Arial" w:hAnsi="Arial" w:cs="Arial"/>
                <w:iCs/>
                <w:szCs w:val="22"/>
              </w:rPr>
              <w:t>£5</w:t>
            </w:r>
            <w:r w:rsidR="002C3445">
              <w:rPr>
                <w:rFonts w:ascii="Arial" w:hAnsi="Arial" w:cs="Arial"/>
                <w:iCs/>
                <w:szCs w:val="22"/>
              </w:rPr>
              <w:t>m</w:t>
            </w:r>
            <w:r w:rsidR="002F0675">
              <w:rPr>
                <w:rFonts w:ascii="Arial" w:hAnsi="Arial" w:cs="Arial"/>
                <w:iCs/>
                <w:szCs w:val="22"/>
              </w:rPr>
              <w:t xml:space="preserve"> </w:t>
            </w:r>
          </w:p>
        </w:tc>
      </w:tr>
      <w:tr w:rsidR="002010AE" w:rsidRPr="000E70A9" w:rsidTr="00192785">
        <w:tc>
          <w:tcPr>
            <w:tcW w:w="288" w:type="dxa"/>
          </w:tcPr>
          <w:p w:rsidR="002010AE" w:rsidRPr="000E70A9" w:rsidRDefault="002010AE" w:rsidP="00CE3C0B">
            <w:pPr>
              <w:numPr>
                <w:ilvl w:val="1"/>
                <w:numId w:val="6"/>
              </w:numPr>
              <w:overflowPunct/>
              <w:autoSpaceDE/>
              <w:autoSpaceDN/>
              <w:adjustRightInd/>
              <w:ind w:left="0" w:firstLine="0"/>
              <w:textAlignment w:val="auto"/>
              <w:rPr>
                <w:rFonts w:ascii="Arial" w:hAnsi="Arial" w:cs="Arial"/>
                <w:szCs w:val="22"/>
              </w:rPr>
            </w:pPr>
          </w:p>
        </w:tc>
        <w:tc>
          <w:tcPr>
            <w:tcW w:w="7645" w:type="dxa"/>
          </w:tcPr>
          <w:p w:rsidR="002010AE" w:rsidRPr="001D7D14" w:rsidRDefault="004D00C0" w:rsidP="00A97F4F">
            <w:pPr>
              <w:rPr>
                <w:rFonts w:ascii="Arial" w:hAnsi="Arial" w:cs="Arial"/>
                <w:b/>
                <w:szCs w:val="24"/>
              </w:rPr>
            </w:pPr>
            <w:r w:rsidRPr="001D7D14">
              <w:rPr>
                <w:rFonts w:ascii="Arial" w:hAnsi="Arial" w:cs="Arial"/>
                <w:spacing w:val="-5"/>
                <w:szCs w:val="24"/>
              </w:rPr>
              <w:t xml:space="preserve">Any </w:t>
            </w:r>
            <w:r w:rsidRPr="001D7D14">
              <w:rPr>
                <w:rFonts w:ascii="Arial" w:hAnsi="Arial" w:cs="Arial"/>
                <w:b/>
                <w:spacing w:val="-5"/>
                <w:szCs w:val="24"/>
              </w:rPr>
              <w:t>bank or building society</w:t>
            </w:r>
            <w:r w:rsidRPr="001D7D14">
              <w:rPr>
                <w:rFonts w:ascii="Arial" w:hAnsi="Arial" w:cs="Arial"/>
                <w:spacing w:val="-5"/>
                <w:szCs w:val="24"/>
              </w:rPr>
              <w:t xml:space="preserve"> that has </w:t>
            </w:r>
            <w:r w:rsidRPr="001D7D14">
              <w:rPr>
                <w:rFonts w:ascii="Arial" w:hAnsi="Arial" w:cs="Arial"/>
                <w:iCs/>
                <w:spacing w:val="-5"/>
                <w:szCs w:val="24"/>
              </w:rPr>
              <w:t xml:space="preserve">a minimum long term credit rating </w:t>
            </w:r>
            <w:r w:rsidRPr="00A97F4F">
              <w:rPr>
                <w:rFonts w:ascii="Arial" w:hAnsi="Arial" w:cs="Arial"/>
                <w:iCs/>
                <w:spacing w:val="-5"/>
                <w:szCs w:val="24"/>
              </w:rPr>
              <w:t>of</w:t>
            </w:r>
            <w:r w:rsidRPr="00A97F4F">
              <w:rPr>
                <w:rFonts w:ascii="Arial" w:hAnsi="Arial" w:cs="Arial"/>
                <w:spacing w:val="-5"/>
                <w:szCs w:val="24"/>
              </w:rPr>
              <w:t xml:space="preserve"> </w:t>
            </w:r>
            <w:r w:rsidR="00A97F4F" w:rsidRPr="00A97F4F">
              <w:rPr>
                <w:rFonts w:ascii="Arial" w:hAnsi="Arial" w:cs="Arial"/>
                <w:spacing w:val="-5"/>
                <w:szCs w:val="24"/>
              </w:rPr>
              <w:t>AA-</w:t>
            </w:r>
            <w:r w:rsidRPr="00A97F4F">
              <w:rPr>
                <w:rFonts w:ascii="Arial" w:hAnsi="Arial" w:cs="Arial"/>
                <w:spacing w:val="-5"/>
                <w:szCs w:val="24"/>
              </w:rPr>
              <w:t>, for</w:t>
            </w:r>
            <w:r w:rsidRPr="001D7D14">
              <w:rPr>
                <w:rFonts w:ascii="Arial" w:hAnsi="Arial" w:cs="Arial"/>
                <w:spacing w:val="-5"/>
                <w:szCs w:val="24"/>
              </w:rPr>
              <w:t xml:space="preserve"> deposits with a maturity of greater than one year (including forward deals in excess of one year from inception to repayment).</w:t>
            </w:r>
          </w:p>
        </w:tc>
        <w:tc>
          <w:tcPr>
            <w:tcW w:w="1247" w:type="dxa"/>
          </w:tcPr>
          <w:p w:rsidR="002010AE" w:rsidRPr="004D00C0" w:rsidRDefault="002010AE" w:rsidP="005804A2">
            <w:pPr>
              <w:rPr>
                <w:rFonts w:ascii="Arial" w:hAnsi="Arial" w:cs="Arial"/>
                <w:iCs/>
                <w:szCs w:val="22"/>
              </w:rPr>
            </w:pPr>
            <w:r w:rsidRPr="004D00C0">
              <w:rPr>
                <w:rFonts w:ascii="Arial" w:hAnsi="Arial" w:cs="Arial"/>
                <w:iCs/>
                <w:szCs w:val="22"/>
              </w:rPr>
              <w:t>£5</w:t>
            </w:r>
            <w:r w:rsidR="002C3445">
              <w:rPr>
                <w:rFonts w:ascii="Arial" w:hAnsi="Arial" w:cs="Arial"/>
                <w:iCs/>
                <w:szCs w:val="22"/>
              </w:rPr>
              <w:t>m</w:t>
            </w:r>
          </w:p>
        </w:tc>
      </w:tr>
      <w:tr w:rsidR="00EF66C3" w:rsidRPr="000E70A9" w:rsidTr="00192785">
        <w:tc>
          <w:tcPr>
            <w:tcW w:w="288" w:type="dxa"/>
          </w:tcPr>
          <w:p w:rsidR="00EF66C3" w:rsidRPr="000E70A9" w:rsidRDefault="00EF66C3" w:rsidP="00CE3C0B">
            <w:pPr>
              <w:numPr>
                <w:ilvl w:val="1"/>
                <w:numId w:val="6"/>
              </w:numPr>
              <w:overflowPunct/>
              <w:autoSpaceDE/>
              <w:autoSpaceDN/>
              <w:adjustRightInd/>
              <w:ind w:left="0" w:firstLine="0"/>
              <w:textAlignment w:val="auto"/>
              <w:rPr>
                <w:rFonts w:ascii="Arial" w:hAnsi="Arial" w:cs="Arial"/>
                <w:szCs w:val="22"/>
              </w:rPr>
            </w:pPr>
          </w:p>
        </w:tc>
        <w:tc>
          <w:tcPr>
            <w:tcW w:w="7645" w:type="dxa"/>
          </w:tcPr>
          <w:p w:rsidR="00EF66C3" w:rsidRPr="001D7D14" w:rsidRDefault="00EF66C3" w:rsidP="005804A2">
            <w:pPr>
              <w:rPr>
                <w:rFonts w:ascii="Arial" w:hAnsi="Arial" w:cs="Arial"/>
                <w:b/>
                <w:szCs w:val="24"/>
              </w:rPr>
            </w:pPr>
            <w:r w:rsidRPr="001D7D14">
              <w:rPr>
                <w:rFonts w:ascii="Arial" w:hAnsi="Arial" w:cs="Arial"/>
                <w:b/>
                <w:szCs w:val="24"/>
              </w:rPr>
              <w:t>Local Authorities</w:t>
            </w:r>
          </w:p>
        </w:tc>
        <w:tc>
          <w:tcPr>
            <w:tcW w:w="1247" w:type="dxa"/>
          </w:tcPr>
          <w:p w:rsidR="00EF66C3" w:rsidRDefault="0041191D" w:rsidP="002C3445">
            <w:pPr>
              <w:rPr>
                <w:rFonts w:ascii="Arial" w:hAnsi="Arial" w:cs="Arial"/>
                <w:iCs/>
                <w:szCs w:val="22"/>
              </w:rPr>
            </w:pPr>
            <w:r>
              <w:rPr>
                <w:rFonts w:ascii="Arial" w:hAnsi="Arial" w:cs="Arial"/>
                <w:iCs/>
                <w:szCs w:val="22"/>
              </w:rPr>
              <w:t>£5</w:t>
            </w:r>
            <w:r w:rsidR="002C3445">
              <w:rPr>
                <w:rFonts w:ascii="Arial" w:hAnsi="Arial" w:cs="Arial"/>
                <w:iCs/>
                <w:szCs w:val="22"/>
              </w:rPr>
              <w:t>m</w:t>
            </w:r>
            <w:r>
              <w:rPr>
                <w:rFonts w:ascii="Arial" w:hAnsi="Arial" w:cs="Arial"/>
                <w:iCs/>
                <w:szCs w:val="22"/>
              </w:rPr>
              <w:t xml:space="preserve"> per authority</w:t>
            </w:r>
          </w:p>
        </w:tc>
      </w:tr>
      <w:tr w:rsidR="00464988" w:rsidRPr="000E70A9" w:rsidTr="00192785">
        <w:tc>
          <w:tcPr>
            <w:tcW w:w="288" w:type="dxa"/>
          </w:tcPr>
          <w:p w:rsidR="00464988" w:rsidRPr="000E70A9" w:rsidRDefault="00464988" w:rsidP="00CE3C0B">
            <w:pPr>
              <w:numPr>
                <w:ilvl w:val="1"/>
                <w:numId w:val="6"/>
              </w:numPr>
              <w:overflowPunct/>
              <w:autoSpaceDE/>
              <w:autoSpaceDN/>
              <w:adjustRightInd/>
              <w:ind w:left="0" w:firstLine="0"/>
              <w:textAlignment w:val="auto"/>
              <w:rPr>
                <w:rFonts w:ascii="Arial" w:hAnsi="Arial" w:cs="Arial"/>
                <w:szCs w:val="22"/>
              </w:rPr>
            </w:pPr>
          </w:p>
        </w:tc>
        <w:tc>
          <w:tcPr>
            <w:tcW w:w="7645" w:type="dxa"/>
          </w:tcPr>
          <w:p w:rsidR="00464988" w:rsidRPr="001D7D14" w:rsidRDefault="002F0675" w:rsidP="005804A2">
            <w:pPr>
              <w:rPr>
                <w:rFonts w:ascii="Arial" w:hAnsi="Arial" w:cs="Arial"/>
                <w:b/>
                <w:iCs/>
                <w:szCs w:val="24"/>
              </w:rPr>
            </w:pPr>
            <w:r w:rsidRPr="001D7D14">
              <w:rPr>
                <w:rFonts w:ascii="Arial" w:hAnsi="Arial" w:cs="Arial"/>
                <w:b/>
                <w:iCs/>
                <w:szCs w:val="24"/>
              </w:rPr>
              <w:t>Property Funds,</w:t>
            </w:r>
            <w:r w:rsidR="002127BD" w:rsidRPr="001D7D14">
              <w:rPr>
                <w:rFonts w:ascii="Arial" w:hAnsi="Arial" w:cs="Arial"/>
                <w:b/>
                <w:iCs/>
                <w:szCs w:val="24"/>
              </w:rPr>
              <w:t xml:space="preserve"> Corporate Bond Funds</w:t>
            </w:r>
            <w:r w:rsidRPr="001D7D14">
              <w:rPr>
                <w:rFonts w:ascii="Arial" w:hAnsi="Arial" w:cs="Arial"/>
                <w:b/>
                <w:iCs/>
                <w:szCs w:val="24"/>
              </w:rPr>
              <w:t xml:space="preserve"> and Other Asset backed Investment products</w:t>
            </w:r>
          </w:p>
          <w:p w:rsidR="001D7D14" w:rsidRPr="001D7D14" w:rsidRDefault="001D7D14" w:rsidP="005804A2">
            <w:pPr>
              <w:rPr>
                <w:rFonts w:ascii="Arial" w:hAnsi="Arial" w:cs="Arial"/>
                <w:szCs w:val="24"/>
              </w:rPr>
            </w:pPr>
            <w:r w:rsidRPr="001D7D14">
              <w:rPr>
                <w:rFonts w:ascii="Arial" w:hAnsi="Arial" w:cs="Arial"/>
                <w:spacing w:val="-5"/>
                <w:szCs w:val="24"/>
              </w:rPr>
              <w:t>The use of these instruments can be deemed to be capital expenditure, and as such will be an application (spending) of capital resources.  This Authority will seek guidance on the status of any fund it may consider using</w:t>
            </w:r>
          </w:p>
        </w:tc>
        <w:tc>
          <w:tcPr>
            <w:tcW w:w="1247" w:type="dxa"/>
          </w:tcPr>
          <w:p w:rsidR="00464988" w:rsidRPr="000E70A9" w:rsidRDefault="00194A25" w:rsidP="002C3445">
            <w:pPr>
              <w:rPr>
                <w:rFonts w:ascii="Arial" w:hAnsi="Arial" w:cs="Arial"/>
                <w:iCs/>
                <w:szCs w:val="22"/>
              </w:rPr>
            </w:pPr>
            <w:r>
              <w:rPr>
                <w:rFonts w:ascii="Arial" w:hAnsi="Arial" w:cs="Arial"/>
                <w:iCs/>
                <w:szCs w:val="22"/>
              </w:rPr>
              <w:t>£20</w:t>
            </w:r>
            <w:r w:rsidR="002C3445">
              <w:rPr>
                <w:rFonts w:ascii="Arial" w:hAnsi="Arial" w:cs="Arial"/>
                <w:iCs/>
                <w:szCs w:val="22"/>
              </w:rPr>
              <w:t>m</w:t>
            </w:r>
            <w:r w:rsidR="002F0675">
              <w:rPr>
                <w:rFonts w:ascii="Arial" w:hAnsi="Arial" w:cs="Arial"/>
                <w:iCs/>
                <w:szCs w:val="22"/>
              </w:rPr>
              <w:t xml:space="preserve"> per Fund</w:t>
            </w:r>
          </w:p>
        </w:tc>
      </w:tr>
    </w:tbl>
    <w:p w:rsidR="000E70A9" w:rsidRPr="000E70A9" w:rsidRDefault="000E70A9" w:rsidP="005804A2">
      <w:pPr>
        <w:rPr>
          <w:rFonts w:ascii="Arial" w:hAnsi="Arial" w:cs="Arial"/>
          <w:iCs/>
          <w:szCs w:val="22"/>
        </w:rPr>
      </w:pPr>
    </w:p>
    <w:p w:rsidR="000E70A9" w:rsidRDefault="000E70A9" w:rsidP="00CE3C0B">
      <w:pPr>
        <w:numPr>
          <w:ilvl w:val="0"/>
          <w:numId w:val="9"/>
        </w:numPr>
        <w:ind w:left="426" w:hanging="426"/>
        <w:rPr>
          <w:rFonts w:ascii="Arial" w:hAnsi="Arial" w:cs="Arial"/>
          <w:szCs w:val="22"/>
        </w:rPr>
      </w:pPr>
      <w:r w:rsidRPr="000E70A9">
        <w:rPr>
          <w:rFonts w:ascii="Arial" w:hAnsi="Arial" w:cs="Arial"/>
          <w:szCs w:val="22"/>
        </w:rPr>
        <w:t xml:space="preserve">Within categories c and d, and in accordance with the Code, the Council has developed additional criteria to set the overall amount of monies which will be invested in these bodies.  Time limits will be applied to banks using the creditworthiness service provided by </w:t>
      </w:r>
      <w:r w:rsidR="0059779C">
        <w:rPr>
          <w:rFonts w:ascii="Arial" w:hAnsi="Arial" w:cs="Arial"/>
          <w:szCs w:val="22"/>
        </w:rPr>
        <w:t>Link Asset Services</w:t>
      </w:r>
      <w:r w:rsidRPr="000E70A9">
        <w:rPr>
          <w:rFonts w:ascii="Arial" w:hAnsi="Arial" w:cs="Arial"/>
          <w:szCs w:val="22"/>
        </w:rPr>
        <w:t>.</w:t>
      </w:r>
      <w:r w:rsidR="000C1B59">
        <w:rPr>
          <w:rFonts w:ascii="Arial" w:hAnsi="Arial" w:cs="Arial"/>
          <w:szCs w:val="22"/>
        </w:rPr>
        <w:t xml:space="preserve"> And for part-nationalised banks will be up to 2 years.</w:t>
      </w:r>
    </w:p>
    <w:p w:rsidR="00971A69" w:rsidRDefault="00971A69" w:rsidP="00971A69">
      <w:pPr>
        <w:ind w:left="426"/>
        <w:rPr>
          <w:rFonts w:ascii="Arial" w:hAnsi="Arial" w:cs="Arial"/>
          <w:szCs w:val="22"/>
        </w:rPr>
      </w:pPr>
    </w:p>
    <w:p w:rsidR="00112665" w:rsidRDefault="002F0675" w:rsidP="00CE3C0B">
      <w:pPr>
        <w:numPr>
          <w:ilvl w:val="0"/>
          <w:numId w:val="9"/>
        </w:numPr>
        <w:ind w:left="426" w:hanging="426"/>
        <w:rPr>
          <w:rFonts w:ascii="Arial" w:hAnsi="Arial" w:cs="Arial"/>
          <w:szCs w:val="22"/>
        </w:rPr>
      </w:pPr>
      <w:r>
        <w:rPr>
          <w:rFonts w:ascii="Arial" w:hAnsi="Arial" w:cs="Arial"/>
          <w:szCs w:val="22"/>
        </w:rPr>
        <w:t>Time limits for Property</w:t>
      </w:r>
      <w:r w:rsidR="00EB407E">
        <w:rPr>
          <w:rFonts w:ascii="Arial" w:hAnsi="Arial" w:cs="Arial"/>
          <w:szCs w:val="22"/>
        </w:rPr>
        <w:t xml:space="preserve"> </w:t>
      </w:r>
      <w:r>
        <w:rPr>
          <w:rFonts w:ascii="Arial" w:hAnsi="Arial" w:cs="Arial"/>
          <w:szCs w:val="22"/>
        </w:rPr>
        <w:t xml:space="preserve">Funds, </w:t>
      </w:r>
      <w:r w:rsidR="00EB407E">
        <w:rPr>
          <w:rFonts w:ascii="Arial" w:hAnsi="Arial" w:cs="Arial"/>
          <w:szCs w:val="22"/>
        </w:rPr>
        <w:t>Corporate Bond F</w:t>
      </w:r>
      <w:r w:rsidR="00112665">
        <w:rPr>
          <w:rFonts w:ascii="Arial" w:hAnsi="Arial" w:cs="Arial"/>
          <w:szCs w:val="22"/>
        </w:rPr>
        <w:t>unds</w:t>
      </w:r>
      <w:r>
        <w:rPr>
          <w:rFonts w:ascii="Arial" w:hAnsi="Arial" w:cs="Arial"/>
          <w:szCs w:val="22"/>
        </w:rPr>
        <w:t xml:space="preserve"> and Asset Backed Investment Products</w:t>
      </w:r>
      <w:r w:rsidR="00112665">
        <w:rPr>
          <w:rFonts w:ascii="Arial" w:hAnsi="Arial" w:cs="Arial"/>
          <w:szCs w:val="22"/>
        </w:rPr>
        <w:t xml:space="preserve"> will be up to 10 Years</w:t>
      </w:r>
      <w:r w:rsidR="0041191D">
        <w:rPr>
          <w:rFonts w:ascii="Arial" w:hAnsi="Arial" w:cs="Arial"/>
          <w:szCs w:val="22"/>
        </w:rPr>
        <w:t>, Local Authorities up to 2 years</w:t>
      </w:r>
      <w:r>
        <w:rPr>
          <w:rFonts w:ascii="Arial" w:hAnsi="Arial" w:cs="Arial"/>
          <w:szCs w:val="22"/>
        </w:rPr>
        <w:t>.</w:t>
      </w:r>
    </w:p>
    <w:p w:rsidR="00112665" w:rsidRPr="000E70A9" w:rsidRDefault="00112665" w:rsidP="005804A2">
      <w:pPr>
        <w:ind w:left="426"/>
        <w:rPr>
          <w:rFonts w:ascii="Arial" w:hAnsi="Arial" w:cs="Arial"/>
          <w:szCs w:val="22"/>
        </w:rPr>
      </w:pPr>
    </w:p>
    <w:p w:rsidR="000E70A9" w:rsidRDefault="000E70A9" w:rsidP="005804A2">
      <w:pPr>
        <w:pStyle w:val="BodyText"/>
        <w:spacing w:after="0"/>
        <w:rPr>
          <w:rFonts w:ascii="Arial" w:hAnsi="Arial" w:cs="Arial"/>
          <w:szCs w:val="22"/>
        </w:rPr>
      </w:pPr>
      <w:r w:rsidRPr="000E70A9">
        <w:rPr>
          <w:rFonts w:ascii="Arial" w:hAnsi="Arial" w:cs="Arial"/>
          <w:b/>
          <w:bCs/>
          <w:szCs w:val="22"/>
        </w:rPr>
        <w:t>The Monitoring of Investment Counterparties</w:t>
      </w:r>
      <w:r w:rsidRPr="000E70A9">
        <w:rPr>
          <w:rFonts w:ascii="Arial" w:hAnsi="Arial" w:cs="Arial"/>
          <w:szCs w:val="22"/>
        </w:rPr>
        <w:t xml:space="preserve"> </w:t>
      </w:r>
    </w:p>
    <w:p w:rsidR="00192785" w:rsidRPr="000E70A9" w:rsidRDefault="00192785" w:rsidP="005804A2">
      <w:pPr>
        <w:pStyle w:val="BodyText"/>
        <w:spacing w:after="0"/>
        <w:rPr>
          <w:rFonts w:ascii="Arial" w:hAnsi="Arial" w:cs="Arial"/>
          <w:szCs w:val="22"/>
        </w:rPr>
      </w:pPr>
    </w:p>
    <w:p w:rsidR="00084C87" w:rsidRPr="007D455C" w:rsidRDefault="000E70A9" w:rsidP="00CE3C0B">
      <w:pPr>
        <w:numPr>
          <w:ilvl w:val="0"/>
          <w:numId w:val="9"/>
        </w:numPr>
        <w:ind w:left="426" w:hanging="426"/>
        <w:rPr>
          <w:rFonts w:ascii="Arial" w:hAnsi="Arial" w:cs="Arial"/>
          <w:szCs w:val="24"/>
        </w:rPr>
      </w:pPr>
      <w:r w:rsidRPr="007D455C">
        <w:rPr>
          <w:rFonts w:ascii="Arial" w:hAnsi="Arial" w:cs="Arial"/>
          <w:szCs w:val="22"/>
        </w:rPr>
        <w:t xml:space="preserve"> The credit rating of counterparties will be monitored regularly.  The Council receives credit rating information (changes, rating watches and rating outlooks) from </w:t>
      </w:r>
      <w:r w:rsidR="0059779C">
        <w:rPr>
          <w:rFonts w:ascii="Arial" w:hAnsi="Arial" w:cs="Arial"/>
          <w:szCs w:val="22"/>
        </w:rPr>
        <w:t>Link Asset Services</w:t>
      </w:r>
      <w:r w:rsidRPr="007D455C">
        <w:rPr>
          <w:rFonts w:ascii="Arial" w:hAnsi="Arial" w:cs="Arial"/>
          <w:szCs w:val="22"/>
        </w:rPr>
        <w:t xml:space="preserve"> as and when ratings change, and counterparties are checked promptly.  On occasion ratings may be downgraded when an investment has already been made.  The criteria used are such that a minor downgrading should not affect the full receipt of the principal and interest.  Any counterparty failing to meet the criteria will be removed from the list immediately by the </w:t>
      </w:r>
      <w:r w:rsidR="00971A69">
        <w:rPr>
          <w:rFonts w:ascii="Arial" w:hAnsi="Arial" w:cs="Arial"/>
          <w:szCs w:val="22"/>
        </w:rPr>
        <w:t xml:space="preserve">Assistant </w:t>
      </w:r>
      <w:r w:rsidR="0059779C">
        <w:rPr>
          <w:rFonts w:ascii="Arial" w:hAnsi="Arial" w:cs="Arial"/>
          <w:szCs w:val="22"/>
        </w:rPr>
        <w:t>Director Resources</w:t>
      </w:r>
      <w:r w:rsidRPr="007D455C">
        <w:rPr>
          <w:rFonts w:ascii="Arial" w:hAnsi="Arial" w:cs="Arial"/>
          <w:szCs w:val="22"/>
        </w:rPr>
        <w:t>, and if required new counterparties which meet the criteria will be added to the l</w:t>
      </w:r>
      <w:r w:rsidR="005D6B82" w:rsidRPr="007D455C">
        <w:rPr>
          <w:rFonts w:ascii="Arial" w:hAnsi="Arial" w:cs="Arial"/>
          <w:szCs w:val="22"/>
        </w:rPr>
        <w:t>ist.</w:t>
      </w:r>
    </w:p>
    <w:sectPr w:rsidR="00084C87" w:rsidRPr="007D455C" w:rsidSect="005804A2">
      <w:headerReference w:type="even" r:id="rId8"/>
      <w:footerReference w:type="default" r:id="rId9"/>
      <w:footerReference w:type="first" r:id="rId10"/>
      <w:pgSz w:w="11907" w:h="16840" w:code="9"/>
      <w:pgMar w:top="1021" w:right="1134" w:bottom="1134" w:left="1440"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483" w:rsidRDefault="001F1483">
      <w:r>
        <w:separator/>
      </w:r>
    </w:p>
  </w:endnote>
  <w:endnote w:type="continuationSeparator" w:id="0">
    <w:p w:rsidR="001F1483" w:rsidRDefault="001F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altName w:val="Arial"/>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483" w:rsidRPr="005E6A43" w:rsidRDefault="001F1483" w:rsidP="009D795D">
    <w:pPr>
      <w:rPr>
        <w:rFonts w:ascii="Arial" w:hAnsi="Arial" w:cs="Arial"/>
        <w:sz w:val="18"/>
        <w:szCs w:val="18"/>
      </w:rPr>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4786"/>
      <w:gridCol w:w="4762"/>
    </w:tblGrid>
    <w:tr w:rsidR="001F1483" w:rsidRPr="005E6A43" w:rsidTr="00B573C4">
      <w:tc>
        <w:tcPr>
          <w:tcW w:w="9548" w:type="dxa"/>
          <w:gridSpan w:val="2"/>
          <w:tcBorders>
            <w:bottom w:val="nil"/>
          </w:tcBorders>
        </w:tcPr>
        <w:p w:rsidR="001F1483" w:rsidRDefault="001F1483" w:rsidP="00B573C4">
          <w:pPr>
            <w:rPr>
              <w:rFonts w:ascii="Arial" w:hAnsi="Arial" w:cs="Arial"/>
              <w:sz w:val="18"/>
              <w:szCs w:val="18"/>
            </w:rPr>
          </w:pPr>
        </w:p>
        <w:p w:rsidR="001F1483" w:rsidRPr="005E6A43" w:rsidRDefault="001F1483" w:rsidP="00B573C4">
          <w:pPr>
            <w:rPr>
              <w:rFonts w:ascii="Arial" w:hAnsi="Arial" w:cs="Arial"/>
              <w:sz w:val="18"/>
              <w:szCs w:val="18"/>
            </w:rPr>
          </w:pPr>
          <w:r>
            <w:rPr>
              <w:rFonts w:ascii="Arial" w:hAnsi="Arial" w:cs="Arial"/>
              <w:sz w:val="18"/>
              <w:szCs w:val="18"/>
            </w:rPr>
            <w:t>Prudential Indicators and Treasury Management Strategy Report 2019/20</w:t>
          </w:r>
        </w:p>
      </w:tc>
    </w:tr>
    <w:tr w:rsidR="001F1483" w:rsidRPr="005E6A43" w:rsidTr="00B573C4">
      <w:tc>
        <w:tcPr>
          <w:tcW w:w="4786" w:type="dxa"/>
          <w:tcBorders>
            <w:top w:val="nil"/>
            <w:bottom w:val="nil"/>
          </w:tcBorders>
        </w:tcPr>
        <w:p w:rsidR="001F1483" w:rsidRPr="005E6A43" w:rsidRDefault="001F1483" w:rsidP="00B573C4">
          <w:pPr>
            <w:rPr>
              <w:rFonts w:ascii="Arial" w:hAnsi="Arial" w:cs="Arial"/>
              <w:sz w:val="18"/>
              <w:szCs w:val="18"/>
            </w:rPr>
          </w:pPr>
          <w:r>
            <w:rPr>
              <w:rFonts w:ascii="Arial" w:hAnsi="Arial" w:cs="Arial"/>
              <w:sz w:val="18"/>
              <w:szCs w:val="18"/>
            </w:rPr>
            <w:t>Audit Committee</w:t>
          </w:r>
        </w:p>
      </w:tc>
      <w:tc>
        <w:tcPr>
          <w:tcW w:w="4762" w:type="dxa"/>
          <w:tcBorders>
            <w:top w:val="nil"/>
            <w:bottom w:val="nil"/>
          </w:tcBorders>
        </w:tcPr>
        <w:p w:rsidR="001F1483" w:rsidRPr="005E6A43" w:rsidRDefault="001F1483" w:rsidP="00B573C4">
          <w:pPr>
            <w:rPr>
              <w:rFonts w:ascii="Arial" w:hAnsi="Arial" w:cs="Arial"/>
              <w:sz w:val="18"/>
              <w:szCs w:val="18"/>
            </w:rPr>
          </w:pPr>
          <w:r w:rsidRPr="005E6A43">
            <w:rPr>
              <w:rFonts w:ascii="Arial" w:hAnsi="Arial" w:cs="Arial"/>
              <w:sz w:val="18"/>
              <w:szCs w:val="18"/>
            </w:rPr>
            <w:t xml:space="preserve">- </w:t>
          </w:r>
          <w:r w:rsidRPr="005E6A43">
            <w:rPr>
              <w:rFonts w:ascii="Arial" w:hAnsi="Arial" w:cs="Arial"/>
              <w:sz w:val="18"/>
              <w:szCs w:val="18"/>
            </w:rPr>
            <w:fldChar w:fldCharType="begin"/>
          </w:r>
          <w:r w:rsidRPr="005E6A43">
            <w:rPr>
              <w:rFonts w:ascii="Arial" w:hAnsi="Arial" w:cs="Arial"/>
              <w:sz w:val="18"/>
              <w:szCs w:val="18"/>
            </w:rPr>
            <w:instrText xml:space="preserve"> PAGE </w:instrText>
          </w:r>
          <w:r w:rsidRPr="005E6A43">
            <w:rPr>
              <w:rFonts w:ascii="Arial" w:hAnsi="Arial" w:cs="Arial"/>
              <w:sz w:val="18"/>
              <w:szCs w:val="18"/>
            </w:rPr>
            <w:fldChar w:fldCharType="separate"/>
          </w:r>
          <w:r w:rsidR="00F230E6">
            <w:rPr>
              <w:rFonts w:ascii="Arial" w:hAnsi="Arial" w:cs="Arial"/>
              <w:noProof/>
              <w:sz w:val="18"/>
              <w:szCs w:val="18"/>
            </w:rPr>
            <w:t>32</w:t>
          </w:r>
          <w:r w:rsidRPr="005E6A43">
            <w:rPr>
              <w:rFonts w:ascii="Arial" w:hAnsi="Arial" w:cs="Arial"/>
              <w:sz w:val="18"/>
              <w:szCs w:val="18"/>
            </w:rPr>
            <w:fldChar w:fldCharType="end"/>
          </w:r>
          <w:r w:rsidRPr="005E6A43">
            <w:rPr>
              <w:rFonts w:ascii="Arial" w:hAnsi="Arial" w:cs="Arial"/>
              <w:sz w:val="18"/>
              <w:szCs w:val="18"/>
            </w:rPr>
            <w:t xml:space="preserve"> of </w:t>
          </w:r>
          <w:r w:rsidRPr="005E6A43">
            <w:rPr>
              <w:rStyle w:val="PageNumber"/>
              <w:rFonts w:ascii="Arial" w:hAnsi="Arial" w:cs="Arial"/>
              <w:sz w:val="18"/>
              <w:szCs w:val="18"/>
            </w:rPr>
            <w:fldChar w:fldCharType="begin"/>
          </w:r>
          <w:r w:rsidRPr="005E6A43">
            <w:rPr>
              <w:rStyle w:val="PageNumber"/>
              <w:rFonts w:ascii="Arial" w:hAnsi="Arial" w:cs="Arial"/>
              <w:sz w:val="18"/>
              <w:szCs w:val="18"/>
            </w:rPr>
            <w:instrText xml:space="preserve"> NUMPAGES </w:instrText>
          </w:r>
          <w:r w:rsidRPr="005E6A43">
            <w:rPr>
              <w:rStyle w:val="PageNumber"/>
              <w:rFonts w:ascii="Arial" w:hAnsi="Arial" w:cs="Arial"/>
              <w:sz w:val="18"/>
              <w:szCs w:val="18"/>
            </w:rPr>
            <w:fldChar w:fldCharType="separate"/>
          </w:r>
          <w:r w:rsidR="00F230E6">
            <w:rPr>
              <w:rStyle w:val="PageNumber"/>
              <w:rFonts w:ascii="Arial" w:hAnsi="Arial" w:cs="Arial"/>
              <w:noProof/>
              <w:sz w:val="18"/>
              <w:szCs w:val="18"/>
            </w:rPr>
            <w:t>38</w:t>
          </w:r>
          <w:r w:rsidRPr="005E6A43">
            <w:rPr>
              <w:rStyle w:val="PageNumber"/>
              <w:rFonts w:ascii="Arial" w:hAnsi="Arial" w:cs="Arial"/>
              <w:sz w:val="18"/>
              <w:szCs w:val="18"/>
            </w:rPr>
            <w:fldChar w:fldCharType="end"/>
          </w:r>
          <w:r w:rsidRPr="005E6A43">
            <w:rPr>
              <w:rStyle w:val="PageNumber"/>
              <w:rFonts w:ascii="Arial" w:hAnsi="Arial" w:cs="Arial"/>
              <w:sz w:val="18"/>
              <w:szCs w:val="18"/>
            </w:rPr>
            <w:t xml:space="preserve"> </w:t>
          </w:r>
          <w:r w:rsidRPr="005E6A43">
            <w:rPr>
              <w:rFonts w:ascii="Arial" w:hAnsi="Arial" w:cs="Arial"/>
              <w:sz w:val="18"/>
              <w:szCs w:val="18"/>
            </w:rPr>
            <w:t>-</w:t>
          </w:r>
        </w:p>
        <w:p w:rsidR="001F1483" w:rsidRPr="005E6A43" w:rsidRDefault="001F1483" w:rsidP="00B573C4">
          <w:pPr>
            <w:jc w:val="right"/>
            <w:rPr>
              <w:rFonts w:ascii="Arial" w:hAnsi="Arial" w:cs="Arial"/>
              <w:sz w:val="18"/>
              <w:szCs w:val="18"/>
            </w:rPr>
          </w:pPr>
        </w:p>
      </w:tc>
    </w:tr>
  </w:tbl>
  <w:p w:rsidR="001F1483" w:rsidRPr="005E6A43" w:rsidRDefault="001F1483" w:rsidP="009D795D">
    <w:pPr>
      <w:pStyle w:val="Foo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483" w:rsidRPr="005E6A43" w:rsidRDefault="001F1483" w:rsidP="009D795D">
    <w:pPr>
      <w:rPr>
        <w:rFonts w:ascii="Arial" w:hAnsi="Arial" w:cs="Arial"/>
        <w:sz w:val="18"/>
        <w:szCs w:val="18"/>
      </w:rPr>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4786"/>
      <w:gridCol w:w="4762"/>
    </w:tblGrid>
    <w:tr w:rsidR="001F1483" w:rsidRPr="005E6A43" w:rsidTr="00B573C4">
      <w:tc>
        <w:tcPr>
          <w:tcW w:w="9548" w:type="dxa"/>
          <w:gridSpan w:val="2"/>
          <w:tcBorders>
            <w:bottom w:val="nil"/>
          </w:tcBorders>
        </w:tcPr>
        <w:p w:rsidR="001F1483" w:rsidRPr="005E6A43" w:rsidRDefault="001F1483" w:rsidP="00B573C4">
          <w:pPr>
            <w:rPr>
              <w:rFonts w:ascii="Arial" w:hAnsi="Arial" w:cs="Arial"/>
              <w:sz w:val="18"/>
              <w:szCs w:val="18"/>
            </w:rPr>
          </w:pPr>
        </w:p>
      </w:tc>
    </w:tr>
    <w:tr w:rsidR="001F1483" w:rsidRPr="005E6A43" w:rsidTr="00B573C4">
      <w:tc>
        <w:tcPr>
          <w:tcW w:w="4786" w:type="dxa"/>
          <w:tcBorders>
            <w:top w:val="nil"/>
            <w:bottom w:val="nil"/>
          </w:tcBorders>
        </w:tcPr>
        <w:p w:rsidR="001F1483" w:rsidRPr="005E6A43" w:rsidRDefault="001F1483" w:rsidP="00B573C4">
          <w:pPr>
            <w:rPr>
              <w:rFonts w:ascii="Arial" w:hAnsi="Arial" w:cs="Arial"/>
              <w:sz w:val="18"/>
              <w:szCs w:val="18"/>
            </w:rPr>
          </w:pPr>
          <w:r w:rsidRPr="005E6A43">
            <w:rPr>
              <w:rFonts w:ascii="Arial" w:hAnsi="Arial" w:cs="Arial"/>
              <w:sz w:val="18"/>
              <w:szCs w:val="18"/>
            </w:rPr>
            <w:fldChar w:fldCharType="begin"/>
          </w:r>
          <w:r w:rsidRPr="005E6A43">
            <w:rPr>
              <w:rFonts w:ascii="Arial" w:hAnsi="Arial" w:cs="Arial"/>
              <w:sz w:val="18"/>
              <w:szCs w:val="18"/>
            </w:rPr>
            <w:instrText xml:space="preserve"> FILENAME  \* MERGEFORMAT </w:instrText>
          </w:r>
          <w:r w:rsidRPr="005E6A43">
            <w:rPr>
              <w:rFonts w:ascii="Arial" w:hAnsi="Arial" w:cs="Arial"/>
              <w:sz w:val="18"/>
              <w:szCs w:val="18"/>
            </w:rPr>
            <w:fldChar w:fldCharType="separate"/>
          </w:r>
          <w:r>
            <w:rPr>
              <w:rFonts w:ascii="Arial" w:hAnsi="Arial" w:cs="Arial"/>
              <w:sz w:val="18"/>
              <w:szCs w:val="18"/>
            </w:rPr>
            <w:t>Prudential Indicators and Treasury Management Strategy Report 2019/</w:t>
          </w:r>
          <w:r w:rsidRPr="005E6A43">
            <w:rPr>
              <w:rFonts w:ascii="Arial" w:hAnsi="Arial" w:cs="Arial"/>
              <w:sz w:val="18"/>
              <w:szCs w:val="18"/>
            </w:rPr>
            <w:fldChar w:fldCharType="end"/>
          </w:r>
          <w:r>
            <w:rPr>
              <w:rFonts w:ascii="Arial" w:hAnsi="Arial" w:cs="Arial"/>
              <w:sz w:val="18"/>
              <w:szCs w:val="18"/>
            </w:rPr>
            <w:t>20</w:t>
          </w:r>
        </w:p>
        <w:p w:rsidR="001F1483" w:rsidRPr="005E6A43" w:rsidRDefault="001F1483" w:rsidP="00B573C4">
          <w:pPr>
            <w:rPr>
              <w:rFonts w:ascii="Arial" w:hAnsi="Arial" w:cs="Arial"/>
              <w:sz w:val="18"/>
              <w:szCs w:val="18"/>
            </w:rPr>
          </w:pPr>
          <w:r>
            <w:rPr>
              <w:rFonts w:ascii="Arial" w:hAnsi="Arial" w:cs="Arial"/>
              <w:sz w:val="18"/>
              <w:szCs w:val="18"/>
            </w:rPr>
            <w:t>Audit Committee</w:t>
          </w:r>
        </w:p>
      </w:tc>
      <w:tc>
        <w:tcPr>
          <w:tcW w:w="4762" w:type="dxa"/>
          <w:tcBorders>
            <w:top w:val="nil"/>
            <w:bottom w:val="nil"/>
          </w:tcBorders>
        </w:tcPr>
        <w:p w:rsidR="001F1483" w:rsidRPr="005E6A43" w:rsidRDefault="001F1483" w:rsidP="00B573C4">
          <w:pPr>
            <w:rPr>
              <w:rFonts w:ascii="Arial" w:hAnsi="Arial" w:cs="Arial"/>
              <w:sz w:val="18"/>
              <w:szCs w:val="18"/>
            </w:rPr>
          </w:pPr>
          <w:r w:rsidRPr="005E6A43">
            <w:rPr>
              <w:rFonts w:ascii="Arial" w:hAnsi="Arial" w:cs="Arial"/>
              <w:sz w:val="18"/>
              <w:szCs w:val="18"/>
            </w:rPr>
            <w:t xml:space="preserve">- </w:t>
          </w:r>
          <w:r w:rsidRPr="005E6A43">
            <w:rPr>
              <w:rFonts w:ascii="Arial" w:hAnsi="Arial" w:cs="Arial"/>
              <w:sz w:val="18"/>
              <w:szCs w:val="18"/>
            </w:rPr>
            <w:fldChar w:fldCharType="begin"/>
          </w:r>
          <w:r w:rsidRPr="005E6A43">
            <w:rPr>
              <w:rFonts w:ascii="Arial" w:hAnsi="Arial" w:cs="Arial"/>
              <w:sz w:val="18"/>
              <w:szCs w:val="18"/>
            </w:rPr>
            <w:instrText xml:space="preserve"> PAGE </w:instrText>
          </w:r>
          <w:r w:rsidRPr="005E6A43">
            <w:rPr>
              <w:rFonts w:ascii="Arial" w:hAnsi="Arial" w:cs="Arial"/>
              <w:sz w:val="18"/>
              <w:szCs w:val="18"/>
            </w:rPr>
            <w:fldChar w:fldCharType="separate"/>
          </w:r>
          <w:r w:rsidR="003C219F">
            <w:rPr>
              <w:rFonts w:ascii="Arial" w:hAnsi="Arial" w:cs="Arial"/>
              <w:noProof/>
              <w:sz w:val="18"/>
              <w:szCs w:val="18"/>
            </w:rPr>
            <w:t>1</w:t>
          </w:r>
          <w:r w:rsidRPr="005E6A43">
            <w:rPr>
              <w:rFonts w:ascii="Arial" w:hAnsi="Arial" w:cs="Arial"/>
              <w:sz w:val="18"/>
              <w:szCs w:val="18"/>
            </w:rPr>
            <w:fldChar w:fldCharType="end"/>
          </w:r>
          <w:r w:rsidRPr="005E6A43">
            <w:rPr>
              <w:rFonts w:ascii="Arial" w:hAnsi="Arial" w:cs="Arial"/>
              <w:sz w:val="18"/>
              <w:szCs w:val="18"/>
            </w:rPr>
            <w:t xml:space="preserve"> of </w:t>
          </w:r>
          <w:r w:rsidRPr="005E6A43">
            <w:rPr>
              <w:rStyle w:val="PageNumber"/>
              <w:rFonts w:ascii="Arial" w:hAnsi="Arial" w:cs="Arial"/>
              <w:sz w:val="18"/>
              <w:szCs w:val="18"/>
            </w:rPr>
            <w:fldChar w:fldCharType="begin"/>
          </w:r>
          <w:r w:rsidRPr="005E6A43">
            <w:rPr>
              <w:rStyle w:val="PageNumber"/>
              <w:rFonts w:ascii="Arial" w:hAnsi="Arial" w:cs="Arial"/>
              <w:sz w:val="18"/>
              <w:szCs w:val="18"/>
            </w:rPr>
            <w:instrText xml:space="preserve"> NUMPAGES </w:instrText>
          </w:r>
          <w:r w:rsidRPr="005E6A43">
            <w:rPr>
              <w:rStyle w:val="PageNumber"/>
              <w:rFonts w:ascii="Arial" w:hAnsi="Arial" w:cs="Arial"/>
              <w:sz w:val="18"/>
              <w:szCs w:val="18"/>
            </w:rPr>
            <w:fldChar w:fldCharType="separate"/>
          </w:r>
          <w:r w:rsidR="003C219F">
            <w:rPr>
              <w:rStyle w:val="PageNumber"/>
              <w:rFonts w:ascii="Arial" w:hAnsi="Arial" w:cs="Arial"/>
              <w:noProof/>
              <w:sz w:val="18"/>
              <w:szCs w:val="18"/>
            </w:rPr>
            <w:t>38</w:t>
          </w:r>
          <w:r w:rsidRPr="005E6A43">
            <w:rPr>
              <w:rStyle w:val="PageNumber"/>
              <w:rFonts w:ascii="Arial" w:hAnsi="Arial" w:cs="Arial"/>
              <w:sz w:val="18"/>
              <w:szCs w:val="18"/>
            </w:rPr>
            <w:fldChar w:fldCharType="end"/>
          </w:r>
          <w:r w:rsidRPr="005E6A43">
            <w:rPr>
              <w:rStyle w:val="PageNumber"/>
              <w:rFonts w:ascii="Arial" w:hAnsi="Arial" w:cs="Arial"/>
              <w:sz w:val="18"/>
              <w:szCs w:val="18"/>
            </w:rPr>
            <w:t xml:space="preserve"> </w:t>
          </w:r>
          <w:r w:rsidRPr="005E6A43">
            <w:rPr>
              <w:rFonts w:ascii="Arial" w:hAnsi="Arial" w:cs="Arial"/>
              <w:sz w:val="18"/>
              <w:szCs w:val="18"/>
            </w:rPr>
            <w:t>-</w:t>
          </w:r>
        </w:p>
        <w:p w:rsidR="001F1483" w:rsidRPr="005E6A43" w:rsidRDefault="001F1483" w:rsidP="00B573C4">
          <w:pPr>
            <w:jc w:val="right"/>
            <w:rPr>
              <w:rFonts w:ascii="Arial" w:hAnsi="Arial" w:cs="Arial"/>
              <w:sz w:val="18"/>
              <w:szCs w:val="18"/>
            </w:rPr>
          </w:pPr>
        </w:p>
      </w:tc>
    </w:tr>
  </w:tbl>
  <w:p w:rsidR="001F1483" w:rsidRPr="005E6A43" w:rsidRDefault="001F1483" w:rsidP="009D795D">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483" w:rsidRDefault="001F1483">
      <w:r>
        <w:separator/>
      </w:r>
    </w:p>
  </w:footnote>
  <w:footnote w:type="continuationSeparator" w:id="0">
    <w:p w:rsidR="001F1483" w:rsidRDefault="001F1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483" w:rsidRDefault="001F1483">
    <w:pPr>
      <w:framePr w:wrap="around" w:vAnchor="text" w:hAnchor="margin" w:xAlign="center" w:y="1"/>
    </w:pPr>
    <w:r>
      <w:fldChar w:fldCharType="begin"/>
    </w:r>
    <w:r>
      <w:instrText xml:space="preserve">PAGE  </w:instrText>
    </w:r>
    <w:r>
      <w:fldChar w:fldCharType="end"/>
    </w:r>
  </w:p>
  <w:p w:rsidR="001F1483" w:rsidRDefault="001F14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B6E9C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05271"/>
    <w:multiLevelType w:val="hybridMultilevel"/>
    <w:tmpl w:val="1310A1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87077E"/>
    <w:multiLevelType w:val="hybridMultilevel"/>
    <w:tmpl w:val="2E20D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FB2146"/>
    <w:multiLevelType w:val="hybridMultilevel"/>
    <w:tmpl w:val="C5C464F4"/>
    <w:lvl w:ilvl="0" w:tplc="51C8C22C">
      <w:start w:val="6"/>
      <w:numFmt w:val="bullet"/>
      <w:lvlText w:val=""/>
      <w:lvlJc w:val="left"/>
      <w:pPr>
        <w:ind w:left="1077" w:hanging="360"/>
      </w:pPr>
      <w:rPr>
        <w:rFonts w:ascii="Symbol" w:eastAsia="Times New Roman" w:hAnsi="Symbo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D7257D0"/>
    <w:multiLevelType w:val="hybridMultilevel"/>
    <w:tmpl w:val="E68E740C"/>
    <w:lvl w:ilvl="0" w:tplc="08090019">
      <w:start w:val="1"/>
      <w:numFmt w:val="lowerLetter"/>
      <w:lvlText w:val="%1."/>
      <w:lvlJc w:val="lef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5" w15:restartNumberingAfterBreak="0">
    <w:nsid w:val="1EB534BE"/>
    <w:multiLevelType w:val="hybridMultilevel"/>
    <w:tmpl w:val="FBDE3EB4"/>
    <w:lvl w:ilvl="0" w:tplc="08090001">
      <w:start w:val="1"/>
      <w:numFmt w:val="bullet"/>
      <w:lvlText w:val=""/>
      <w:lvlJc w:val="left"/>
      <w:pPr>
        <w:tabs>
          <w:tab w:val="num" w:pos="720"/>
        </w:tabs>
        <w:ind w:left="720" w:hanging="360"/>
      </w:pPr>
      <w:rPr>
        <w:rFonts w:ascii="Symbol" w:hAnsi="Symbol" w:hint="default"/>
        <w:b w:val="0"/>
      </w:rPr>
    </w:lvl>
    <w:lvl w:ilvl="1" w:tplc="8A06832A">
      <w:start w:val="2"/>
      <w:numFmt w:val="bullet"/>
      <w:lvlText w:val="-"/>
      <w:lvlJc w:val="left"/>
      <w:pPr>
        <w:tabs>
          <w:tab w:val="num" w:pos="1440"/>
        </w:tabs>
        <w:ind w:left="1440" w:hanging="360"/>
      </w:pPr>
      <w:rPr>
        <w:rFonts w:ascii="Times New Roman" w:eastAsia="Times New Roman" w:hAnsi="Times New Roman" w:cs="Times New Roman" w:hint="default"/>
      </w:rPr>
    </w:lvl>
    <w:lvl w:ilvl="2" w:tplc="CFF6986C">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3D72AD"/>
    <w:multiLevelType w:val="hybridMultilevel"/>
    <w:tmpl w:val="A10CD7FE"/>
    <w:lvl w:ilvl="0" w:tplc="964C87BC">
      <w:start w:val="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04558A"/>
    <w:multiLevelType w:val="multilevel"/>
    <w:tmpl w:val="930EE99C"/>
    <w:lvl w:ilvl="0">
      <w:start w:val="8"/>
      <w:numFmt w:val="decimal"/>
      <w:lvlText w:val="%1."/>
      <w:lvlJc w:val="left"/>
      <w:pPr>
        <w:tabs>
          <w:tab w:val="num" w:pos="0"/>
        </w:tabs>
        <w:ind w:left="454" w:hanging="454"/>
      </w:pPr>
      <w:rPr>
        <w:rFonts w:hint="default"/>
        <w:b w:val="0"/>
        <w:i w:val="0"/>
        <w:color w:val="auto"/>
      </w:rPr>
    </w:lvl>
    <w:lvl w:ilvl="1">
      <w:start w:val="1"/>
      <w:numFmt w:val="lowerLetter"/>
      <w:lvlText w:val="%2)"/>
      <w:lvlJc w:val="left"/>
      <w:pPr>
        <w:tabs>
          <w:tab w:val="num" w:pos="0"/>
        </w:tabs>
        <w:ind w:left="908" w:hanging="454"/>
      </w:pPr>
      <w:rPr>
        <w:rFonts w:hint="default"/>
        <w:b w:val="0"/>
        <w:i w:val="0"/>
      </w:rPr>
    </w:lvl>
    <w:lvl w:ilvl="2">
      <w:start w:val="1"/>
      <w:numFmt w:val="lowerRoman"/>
      <w:lvlText w:val="(%3)"/>
      <w:lvlJc w:val="right"/>
      <w:pPr>
        <w:tabs>
          <w:tab w:val="num" w:pos="772"/>
        </w:tabs>
        <w:ind w:left="2304" w:hanging="624"/>
      </w:pPr>
      <w:rPr>
        <w:rFonts w:hint="default"/>
        <w:b w:val="0"/>
        <w:i w:val="0"/>
      </w:rPr>
    </w:lvl>
    <w:lvl w:ilvl="3">
      <w:start w:val="1"/>
      <w:numFmt w:val="lowerLetter"/>
      <w:lvlText w:val="%4)"/>
      <w:lvlJc w:val="left"/>
      <w:pPr>
        <w:tabs>
          <w:tab w:val="num" w:pos="0"/>
        </w:tabs>
        <w:ind w:left="2252" w:hanging="720"/>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abstractNum w:abstractNumId="8" w15:restartNumberingAfterBreak="0">
    <w:nsid w:val="277C008D"/>
    <w:multiLevelType w:val="multilevel"/>
    <w:tmpl w:val="684E1246"/>
    <w:lvl w:ilvl="0">
      <w:start w:val="1"/>
      <w:numFmt w:val="decimal"/>
      <w:lvlText w:val="%1."/>
      <w:lvlJc w:val="left"/>
      <w:pPr>
        <w:ind w:left="596" w:hanging="454"/>
      </w:pPr>
      <w:rPr>
        <w:rFonts w:hint="default"/>
        <w:i w:val="0"/>
      </w:rPr>
    </w:lvl>
    <w:lvl w:ilvl="1">
      <w:start w:val="1"/>
      <w:numFmt w:val="lowerLetter"/>
      <w:lvlText w:val="(%2)"/>
      <w:lvlJc w:val="left"/>
      <w:pPr>
        <w:ind w:left="1414" w:hanging="454"/>
      </w:pPr>
      <w:rPr>
        <w:rFonts w:hint="default"/>
      </w:rPr>
    </w:lvl>
    <w:lvl w:ilvl="2">
      <w:start w:val="1"/>
      <w:numFmt w:val="lowerRoman"/>
      <w:lvlText w:val="(%3)"/>
      <w:lvlJc w:val="right"/>
      <w:pPr>
        <w:ind w:left="1532" w:hanging="624"/>
      </w:pPr>
      <w:rPr>
        <w:rFonts w:hint="default"/>
      </w:rPr>
    </w:lvl>
    <w:lvl w:ilvl="3">
      <w:start w:val="1"/>
      <w:numFmt w:val="lowerLetter"/>
      <w:lvlText w:val="%4)"/>
      <w:lvlJc w:val="left"/>
      <w:pPr>
        <w:ind w:left="2252" w:hanging="720"/>
      </w:pPr>
      <w:rPr>
        <w:rFonts w:hint="default"/>
      </w:rPr>
    </w:lvl>
    <w:lvl w:ilvl="4">
      <w:start w:val="1"/>
      <w:numFmt w:val="decimal"/>
      <w:lvlText w:val="(%5)"/>
      <w:lvlJc w:val="left"/>
      <w:pPr>
        <w:ind w:left="2972" w:hanging="720"/>
      </w:pPr>
      <w:rPr>
        <w:rFonts w:hint="default"/>
      </w:rPr>
    </w:lvl>
    <w:lvl w:ilvl="5">
      <w:start w:val="1"/>
      <w:numFmt w:val="lowerLetter"/>
      <w:lvlText w:val="(%6)"/>
      <w:lvlJc w:val="left"/>
      <w:pPr>
        <w:ind w:left="3692" w:hanging="720"/>
      </w:pPr>
      <w:rPr>
        <w:rFonts w:hint="default"/>
      </w:rPr>
    </w:lvl>
    <w:lvl w:ilvl="6">
      <w:start w:val="1"/>
      <w:numFmt w:val="lowerRoman"/>
      <w:lvlText w:val="(%7)"/>
      <w:lvlJc w:val="left"/>
      <w:pPr>
        <w:ind w:left="4412" w:hanging="720"/>
      </w:pPr>
      <w:rPr>
        <w:rFonts w:hint="default"/>
      </w:rPr>
    </w:lvl>
    <w:lvl w:ilvl="7">
      <w:start w:val="1"/>
      <w:numFmt w:val="lowerLetter"/>
      <w:lvlText w:val="(%8)"/>
      <w:lvlJc w:val="left"/>
      <w:pPr>
        <w:ind w:left="5132" w:hanging="720"/>
      </w:pPr>
      <w:rPr>
        <w:rFonts w:hint="default"/>
      </w:rPr>
    </w:lvl>
    <w:lvl w:ilvl="8">
      <w:start w:val="1"/>
      <w:numFmt w:val="lowerRoman"/>
      <w:lvlText w:val="(%9)"/>
      <w:lvlJc w:val="left"/>
      <w:pPr>
        <w:ind w:left="5852" w:hanging="720"/>
      </w:pPr>
      <w:rPr>
        <w:rFonts w:hint="default"/>
      </w:rPr>
    </w:lvl>
  </w:abstractNum>
  <w:abstractNum w:abstractNumId="9" w15:restartNumberingAfterBreak="0">
    <w:nsid w:val="2AE70C6A"/>
    <w:multiLevelType w:val="multilevel"/>
    <w:tmpl w:val="22EC252A"/>
    <w:lvl w:ilvl="0">
      <w:start w:val="8"/>
      <w:numFmt w:val="decimal"/>
      <w:lvlText w:val="%1."/>
      <w:lvlJc w:val="left"/>
      <w:pPr>
        <w:tabs>
          <w:tab w:val="num" w:pos="0"/>
        </w:tabs>
        <w:ind w:left="454" w:hanging="454"/>
      </w:pPr>
      <w:rPr>
        <w:rFonts w:hint="default"/>
        <w:b w:val="0"/>
        <w:i w:val="0"/>
        <w:color w:val="auto"/>
      </w:rPr>
    </w:lvl>
    <w:lvl w:ilvl="1">
      <w:start w:val="1"/>
      <w:numFmt w:val="lowerLetter"/>
      <w:lvlText w:val="(%2)"/>
      <w:lvlJc w:val="left"/>
      <w:pPr>
        <w:tabs>
          <w:tab w:val="num" w:pos="0"/>
        </w:tabs>
        <w:ind w:left="908" w:hanging="454"/>
      </w:pPr>
      <w:rPr>
        <w:rFonts w:hint="default"/>
        <w:b w:val="0"/>
        <w:i w:val="0"/>
      </w:rPr>
    </w:lvl>
    <w:lvl w:ilvl="2">
      <w:start w:val="1"/>
      <w:numFmt w:val="lowerRoman"/>
      <w:lvlText w:val="(%3)"/>
      <w:lvlJc w:val="right"/>
      <w:pPr>
        <w:tabs>
          <w:tab w:val="num" w:pos="772"/>
        </w:tabs>
        <w:ind w:left="2304" w:hanging="624"/>
      </w:pPr>
      <w:rPr>
        <w:rFonts w:hint="default"/>
        <w:b w:val="0"/>
        <w:i w:val="0"/>
      </w:rPr>
    </w:lvl>
    <w:lvl w:ilvl="3">
      <w:start w:val="1"/>
      <w:numFmt w:val="lowerLetter"/>
      <w:lvlText w:val="%4)"/>
      <w:lvlJc w:val="left"/>
      <w:pPr>
        <w:tabs>
          <w:tab w:val="num" w:pos="0"/>
        </w:tabs>
        <w:ind w:left="2252" w:hanging="720"/>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abstractNum w:abstractNumId="10" w15:restartNumberingAfterBreak="0">
    <w:nsid w:val="3BD50EC8"/>
    <w:multiLevelType w:val="hybridMultilevel"/>
    <w:tmpl w:val="A8484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4509E0"/>
    <w:multiLevelType w:val="hybridMultilevel"/>
    <w:tmpl w:val="2926DF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480"/>
        </w:tabs>
        <w:ind w:left="48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D0550E"/>
    <w:multiLevelType w:val="hybridMultilevel"/>
    <w:tmpl w:val="9BBE4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A04196"/>
    <w:multiLevelType w:val="multilevel"/>
    <w:tmpl w:val="A358FE96"/>
    <w:lvl w:ilvl="0">
      <w:start w:val="1"/>
      <w:numFmt w:val="decimal"/>
      <w:pStyle w:val="ChapterHeading"/>
      <w:lvlText w:val="%1"/>
      <w:lvlJc w:val="left"/>
      <w:pPr>
        <w:ind w:left="360" w:hanging="360"/>
      </w:pPr>
      <w:rPr>
        <w:rFonts w:cs="Times New Roman" w:hint="default"/>
        <w:b/>
        <w:color w:val="auto"/>
      </w:rPr>
    </w:lvl>
    <w:lvl w:ilvl="1">
      <w:start w:val="1"/>
      <w:numFmt w:val="decimal"/>
      <w:pStyle w:val="Subheading"/>
      <w:isLgl/>
      <w:lvlText w:val="%1.%2"/>
      <w:lvlJc w:val="left"/>
      <w:pPr>
        <w:ind w:left="73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52B077BD"/>
    <w:multiLevelType w:val="hybridMultilevel"/>
    <w:tmpl w:val="9C54D27E"/>
    <w:lvl w:ilvl="0" w:tplc="E030228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A2366A"/>
    <w:multiLevelType w:val="hybridMultilevel"/>
    <w:tmpl w:val="94C61DAC"/>
    <w:lvl w:ilvl="0" w:tplc="08090019">
      <w:start w:val="1"/>
      <w:numFmt w:val="lowerLetter"/>
      <w:lvlText w:val="%1."/>
      <w:lvlJc w:val="lef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6" w15:restartNumberingAfterBreak="0">
    <w:nsid w:val="587F551B"/>
    <w:multiLevelType w:val="hybridMultilevel"/>
    <w:tmpl w:val="4DF2C9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6139241C"/>
    <w:multiLevelType w:val="hybridMultilevel"/>
    <w:tmpl w:val="247632FC"/>
    <w:lvl w:ilvl="0" w:tplc="185CF67E">
      <w:start w:val="1"/>
      <w:numFmt w:val="lowerRoman"/>
      <w:lvlText w:val="%1."/>
      <w:lvlJc w:val="right"/>
      <w:pPr>
        <w:tabs>
          <w:tab w:val="num" w:pos="6630"/>
        </w:tabs>
        <w:ind w:left="6630" w:hanging="180"/>
      </w:pPr>
      <w:rPr>
        <w:rFonts w:hint="default"/>
        <w:i w:val="0"/>
      </w:rPr>
    </w:lvl>
    <w:lvl w:ilvl="1" w:tplc="08090019" w:tentative="1">
      <w:start w:val="1"/>
      <w:numFmt w:val="lowerLetter"/>
      <w:lvlText w:val="%2."/>
      <w:lvlJc w:val="left"/>
      <w:pPr>
        <w:tabs>
          <w:tab w:val="num" w:pos="5910"/>
        </w:tabs>
        <w:ind w:left="5910" w:hanging="360"/>
      </w:pPr>
    </w:lvl>
    <w:lvl w:ilvl="2" w:tplc="0809001B" w:tentative="1">
      <w:start w:val="1"/>
      <w:numFmt w:val="lowerRoman"/>
      <w:lvlText w:val="%3."/>
      <w:lvlJc w:val="right"/>
      <w:pPr>
        <w:tabs>
          <w:tab w:val="num" w:pos="6630"/>
        </w:tabs>
        <w:ind w:left="6630" w:hanging="180"/>
      </w:pPr>
    </w:lvl>
    <w:lvl w:ilvl="3" w:tplc="0809000F" w:tentative="1">
      <w:start w:val="1"/>
      <w:numFmt w:val="decimal"/>
      <w:lvlText w:val="%4."/>
      <w:lvlJc w:val="left"/>
      <w:pPr>
        <w:tabs>
          <w:tab w:val="num" w:pos="7350"/>
        </w:tabs>
        <w:ind w:left="7350" w:hanging="360"/>
      </w:pPr>
    </w:lvl>
    <w:lvl w:ilvl="4" w:tplc="08090019" w:tentative="1">
      <w:start w:val="1"/>
      <w:numFmt w:val="lowerLetter"/>
      <w:lvlText w:val="%5."/>
      <w:lvlJc w:val="left"/>
      <w:pPr>
        <w:tabs>
          <w:tab w:val="num" w:pos="8070"/>
        </w:tabs>
        <w:ind w:left="8070" w:hanging="360"/>
      </w:pPr>
    </w:lvl>
    <w:lvl w:ilvl="5" w:tplc="0809001B" w:tentative="1">
      <w:start w:val="1"/>
      <w:numFmt w:val="lowerRoman"/>
      <w:lvlText w:val="%6."/>
      <w:lvlJc w:val="right"/>
      <w:pPr>
        <w:tabs>
          <w:tab w:val="num" w:pos="8790"/>
        </w:tabs>
        <w:ind w:left="8790" w:hanging="180"/>
      </w:pPr>
    </w:lvl>
    <w:lvl w:ilvl="6" w:tplc="0809000F" w:tentative="1">
      <w:start w:val="1"/>
      <w:numFmt w:val="decimal"/>
      <w:lvlText w:val="%7."/>
      <w:lvlJc w:val="left"/>
      <w:pPr>
        <w:tabs>
          <w:tab w:val="num" w:pos="9510"/>
        </w:tabs>
        <w:ind w:left="9510" w:hanging="360"/>
      </w:pPr>
    </w:lvl>
    <w:lvl w:ilvl="7" w:tplc="08090019" w:tentative="1">
      <w:start w:val="1"/>
      <w:numFmt w:val="lowerLetter"/>
      <w:lvlText w:val="%8."/>
      <w:lvlJc w:val="left"/>
      <w:pPr>
        <w:tabs>
          <w:tab w:val="num" w:pos="10230"/>
        </w:tabs>
        <w:ind w:left="10230" w:hanging="360"/>
      </w:pPr>
    </w:lvl>
    <w:lvl w:ilvl="8" w:tplc="0809001B" w:tentative="1">
      <w:start w:val="1"/>
      <w:numFmt w:val="lowerRoman"/>
      <w:lvlText w:val="%9."/>
      <w:lvlJc w:val="right"/>
      <w:pPr>
        <w:tabs>
          <w:tab w:val="num" w:pos="10950"/>
        </w:tabs>
        <w:ind w:left="10950" w:hanging="180"/>
      </w:pPr>
    </w:lvl>
  </w:abstractNum>
  <w:abstractNum w:abstractNumId="18" w15:restartNumberingAfterBreak="0">
    <w:nsid w:val="627F6206"/>
    <w:multiLevelType w:val="hybridMultilevel"/>
    <w:tmpl w:val="2BB08482"/>
    <w:lvl w:ilvl="0" w:tplc="0922A3EC">
      <w:start w:val="6"/>
      <w:numFmt w:val="bullet"/>
      <w:lvlText w:val=""/>
      <w:lvlJc w:val="left"/>
      <w:pPr>
        <w:ind w:left="1800" w:hanging="360"/>
      </w:pPr>
      <w:rPr>
        <w:rFonts w:ascii="Symbol" w:eastAsia="Times New Roman"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5A06E71"/>
    <w:multiLevelType w:val="multilevel"/>
    <w:tmpl w:val="4EFEED58"/>
    <w:lvl w:ilvl="0">
      <w:start w:val="1"/>
      <w:numFmt w:val="decimal"/>
      <w:lvlRestart w:val="0"/>
      <w:lvlText w:val="%1."/>
      <w:lvlJc w:val="left"/>
      <w:pPr>
        <w:ind w:left="567" w:hanging="567"/>
      </w:pPr>
      <w:rPr>
        <w:rFonts w:ascii="Arial" w:hAnsi="Arial" w:cs="Arial" w:hint="default"/>
        <w:b w:val="0"/>
        <w:i w:val="0"/>
        <w:sz w:val="24"/>
        <w:szCs w:val="24"/>
      </w:rPr>
    </w:lvl>
    <w:lvl w:ilvl="1">
      <w:start w:val="1"/>
      <w:numFmt w:val="lowerLetter"/>
      <w:lvlText w:val="(%2)"/>
      <w:lvlJc w:val="left"/>
      <w:pPr>
        <w:ind w:left="1447" w:hanging="454"/>
      </w:pPr>
      <w:rPr>
        <w:rFonts w:hint="default"/>
      </w:rPr>
    </w:lvl>
    <w:lvl w:ilvl="2">
      <w:start w:val="1"/>
      <w:numFmt w:val="lowerRoman"/>
      <w:lvlText w:val="(%3)"/>
      <w:lvlJc w:val="right"/>
      <w:pPr>
        <w:ind w:left="1701" w:hanging="454"/>
      </w:pPr>
      <w:rPr>
        <w:rFonts w:hint="default"/>
      </w:rPr>
    </w:lvl>
    <w:lvl w:ilvl="3">
      <w:start w:val="1"/>
      <w:numFmt w:val="lowerRoman"/>
      <w:lvlText w:val="(%4)"/>
      <w:lvlJc w:val="right"/>
      <w:pPr>
        <w:ind w:left="2251" w:hanging="720"/>
      </w:pPr>
      <w:rPr>
        <w:rFonts w:hint="default"/>
      </w:rPr>
    </w:lvl>
    <w:lvl w:ilvl="4">
      <w:start w:val="1"/>
      <w:numFmt w:val="bullet"/>
      <w:lvlText w:val=""/>
      <w:lvlJc w:val="left"/>
      <w:pPr>
        <w:ind w:left="2971" w:hanging="720"/>
      </w:pPr>
      <w:rPr>
        <w:rFonts w:ascii="Symbol" w:hAnsi="Symbol" w:hint="default"/>
      </w:rPr>
    </w:lvl>
    <w:lvl w:ilvl="5">
      <w:start w:val="1"/>
      <w:numFmt w:val="lowerLetter"/>
      <w:lvlText w:val="(%6)"/>
      <w:lvlJc w:val="left"/>
      <w:pPr>
        <w:ind w:left="3691" w:hanging="720"/>
      </w:pPr>
      <w:rPr>
        <w:rFonts w:hint="default"/>
      </w:rPr>
    </w:lvl>
    <w:lvl w:ilvl="6">
      <w:start w:val="1"/>
      <w:numFmt w:val="lowerRoman"/>
      <w:lvlText w:val="(%7)"/>
      <w:lvlJc w:val="left"/>
      <w:pPr>
        <w:ind w:left="4411" w:hanging="720"/>
      </w:pPr>
      <w:rPr>
        <w:rFonts w:hint="default"/>
      </w:rPr>
    </w:lvl>
    <w:lvl w:ilvl="7">
      <w:start w:val="1"/>
      <w:numFmt w:val="lowerLetter"/>
      <w:lvlText w:val="(%8)"/>
      <w:lvlJc w:val="left"/>
      <w:pPr>
        <w:ind w:left="5131" w:hanging="720"/>
      </w:pPr>
      <w:rPr>
        <w:rFonts w:hint="default"/>
      </w:rPr>
    </w:lvl>
    <w:lvl w:ilvl="8">
      <w:start w:val="1"/>
      <w:numFmt w:val="lowerRoman"/>
      <w:lvlText w:val="(%9)"/>
      <w:lvlJc w:val="left"/>
      <w:pPr>
        <w:ind w:left="5851" w:hanging="720"/>
      </w:pPr>
      <w:rPr>
        <w:rFonts w:hint="default"/>
      </w:rPr>
    </w:lvl>
  </w:abstractNum>
  <w:abstractNum w:abstractNumId="20" w15:restartNumberingAfterBreak="0">
    <w:nsid w:val="67F748F3"/>
    <w:multiLevelType w:val="hybridMultilevel"/>
    <w:tmpl w:val="02165510"/>
    <w:lvl w:ilvl="0" w:tplc="C5500E32">
      <w:start w:val="6"/>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A330510"/>
    <w:multiLevelType w:val="hybridMultilevel"/>
    <w:tmpl w:val="F0A8F01E"/>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2" w15:restartNumberingAfterBreak="0">
    <w:nsid w:val="72284138"/>
    <w:multiLevelType w:val="hybridMultilevel"/>
    <w:tmpl w:val="EEA6D886"/>
    <w:lvl w:ilvl="0" w:tplc="837CA406">
      <w:numFmt w:val="bullet"/>
      <w:lvlText w:val="•"/>
      <w:lvlJc w:val="left"/>
      <w:pPr>
        <w:ind w:left="2160" w:hanging="72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6090913"/>
    <w:multiLevelType w:val="hybridMultilevel"/>
    <w:tmpl w:val="72C2EDE2"/>
    <w:lvl w:ilvl="0" w:tplc="0809000F">
      <w:start w:val="1"/>
      <w:numFmt w:val="decimal"/>
      <w:lvlText w:val="%1."/>
      <w:lvlJc w:val="left"/>
      <w:pPr>
        <w:ind w:left="720" w:hanging="360"/>
      </w:pPr>
    </w:lvl>
    <w:lvl w:ilvl="1" w:tplc="EA9E45DC">
      <w:numFmt w:val="bullet"/>
      <w:lvlText w:val="•"/>
      <w:lvlJc w:val="left"/>
      <w:pPr>
        <w:ind w:left="1800" w:hanging="720"/>
      </w:pPr>
      <w:rPr>
        <w:rFonts w:ascii="Arial" w:eastAsia="Calibri" w:hAnsi="Arial" w:cs="Aria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0"/>
  </w:num>
  <w:num w:numId="3">
    <w:abstractNumId w:val="5"/>
  </w:num>
  <w:num w:numId="4">
    <w:abstractNumId w:val="17"/>
  </w:num>
  <w:num w:numId="5">
    <w:abstractNumId w:val="13"/>
  </w:num>
  <w:num w:numId="6">
    <w:abstractNumId w:val="11"/>
  </w:num>
  <w:num w:numId="7">
    <w:abstractNumId w:val="7"/>
  </w:num>
  <w:num w:numId="8">
    <w:abstractNumId w:val="9"/>
  </w:num>
  <w:num w:numId="9">
    <w:abstractNumId w:val="12"/>
  </w:num>
  <w:num w:numId="10">
    <w:abstractNumId w:val="8"/>
  </w:num>
  <w:num w:numId="11">
    <w:abstractNumId w:val="15"/>
  </w:num>
  <w:num w:numId="12">
    <w:abstractNumId w:val="4"/>
  </w:num>
  <w:num w:numId="13">
    <w:abstractNumId w:val="21"/>
  </w:num>
  <w:num w:numId="14">
    <w:abstractNumId w:val="14"/>
  </w:num>
  <w:num w:numId="15">
    <w:abstractNumId w:val="23"/>
  </w:num>
  <w:num w:numId="16">
    <w:abstractNumId w:val="10"/>
  </w:num>
  <w:num w:numId="17">
    <w:abstractNumId w:val="1"/>
  </w:num>
  <w:num w:numId="18">
    <w:abstractNumId w:val="2"/>
  </w:num>
  <w:num w:numId="19">
    <w:abstractNumId w:val="22"/>
  </w:num>
  <w:num w:numId="20">
    <w:abstractNumId w:val="3"/>
  </w:num>
  <w:num w:numId="21">
    <w:abstractNumId w:val="6"/>
  </w:num>
  <w:num w:numId="22">
    <w:abstractNumId w:val="20"/>
  </w:num>
  <w:num w:numId="23">
    <w:abstractNumId w:val="18"/>
  </w:num>
  <w:num w:numId="24">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2A"/>
    <w:rsid w:val="000003CB"/>
    <w:rsid w:val="000008EF"/>
    <w:rsid w:val="00002822"/>
    <w:rsid w:val="00002F79"/>
    <w:rsid w:val="00003B06"/>
    <w:rsid w:val="00004A49"/>
    <w:rsid w:val="0001144B"/>
    <w:rsid w:val="00012612"/>
    <w:rsid w:val="00033284"/>
    <w:rsid w:val="00037F4E"/>
    <w:rsid w:val="000400B5"/>
    <w:rsid w:val="00040DC1"/>
    <w:rsid w:val="00042442"/>
    <w:rsid w:val="00043FE2"/>
    <w:rsid w:val="00044664"/>
    <w:rsid w:val="00044B76"/>
    <w:rsid w:val="000526E7"/>
    <w:rsid w:val="00052E7B"/>
    <w:rsid w:val="00053C78"/>
    <w:rsid w:val="0005425C"/>
    <w:rsid w:val="0005757F"/>
    <w:rsid w:val="000611FC"/>
    <w:rsid w:val="00062F35"/>
    <w:rsid w:val="000647D4"/>
    <w:rsid w:val="00070CA3"/>
    <w:rsid w:val="000715F4"/>
    <w:rsid w:val="00072948"/>
    <w:rsid w:val="00072F9F"/>
    <w:rsid w:val="00073F3C"/>
    <w:rsid w:val="00077837"/>
    <w:rsid w:val="00080C51"/>
    <w:rsid w:val="000838E6"/>
    <w:rsid w:val="00083E17"/>
    <w:rsid w:val="000840C5"/>
    <w:rsid w:val="00084C87"/>
    <w:rsid w:val="0008634D"/>
    <w:rsid w:val="0008739F"/>
    <w:rsid w:val="0008793A"/>
    <w:rsid w:val="000879D1"/>
    <w:rsid w:val="00092116"/>
    <w:rsid w:val="0009637E"/>
    <w:rsid w:val="00096D63"/>
    <w:rsid w:val="000A0E48"/>
    <w:rsid w:val="000A0ED6"/>
    <w:rsid w:val="000A370D"/>
    <w:rsid w:val="000A65D9"/>
    <w:rsid w:val="000A797D"/>
    <w:rsid w:val="000B071C"/>
    <w:rsid w:val="000B107E"/>
    <w:rsid w:val="000B476A"/>
    <w:rsid w:val="000C1B59"/>
    <w:rsid w:val="000C1EE0"/>
    <w:rsid w:val="000C20F3"/>
    <w:rsid w:val="000C41DD"/>
    <w:rsid w:val="000C552B"/>
    <w:rsid w:val="000D2602"/>
    <w:rsid w:val="000D64DC"/>
    <w:rsid w:val="000E2568"/>
    <w:rsid w:val="000E4259"/>
    <w:rsid w:val="000E647E"/>
    <w:rsid w:val="000E70A9"/>
    <w:rsid w:val="000F38D2"/>
    <w:rsid w:val="000F69BA"/>
    <w:rsid w:val="001007FC"/>
    <w:rsid w:val="00102A2D"/>
    <w:rsid w:val="00103827"/>
    <w:rsid w:val="00112665"/>
    <w:rsid w:val="00113114"/>
    <w:rsid w:val="0011525A"/>
    <w:rsid w:val="00115C68"/>
    <w:rsid w:val="00116C42"/>
    <w:rsid w:val="001203A8"/>
    <w:rsid w:val="0012480E"/>
    <w:rsid w:val="001256CB"/>
    <w:rsid w:val="00130081"/>
    <w:rsid w:val="0013060C"/>
    <w:rsid w:val="00131F13"/>
    <w:rsid w:val="001357E8"/>
    <w:rsid w:val="00135BCA"/>
    <w:rsid w:val="001446D2"/>
    <w:rsid w:val="0014524E"/>
    <w:rsid w:val="0014559F"/>
    <w:rsid w:val="00150DBC"/>
    <w:rsid w:val="00152715"/>
    <w:rsid w:val="0015336A"/>
    <w:rsid w:val="0015352C"/>
    <w:rsid w:val="00154878"/>
    <w:rsid w:val="00160300"/>
    <w:rsid w:val="00161C67"/>
    <w:rsid w:val="00162265"/>
    <w:rsid w:val="00163FB2"/>
    <w:rsid w:val="00165EFD"/>
    <w:rsid w:val="00170C78"/>
    <w:rsid w:val="00171588"/>
    <w:rsid w:val="0017207D"/>
    <w:rsid w:val="00174A2A"/>
    <w:rsid w:val="0017744F"/>
    <w:rsid w:val="001826FC"/>
    <w:rsid w:val="00183401"/>
    <w:rsid w:val="00183D1F"/>
    <w:rsid w:val="00184A03"/>
    <w:rsid w:val="001902B1"/>
    <w:rsid w:val="00190C89"/>
    <w:rsid w:val="00192785"/>
    <w:rsid w:val="00192B2D"/>
    <w:rsid w:val="00193D9A"/>
    <w:rsid w:val="00194A25"/>
    <w:rsid w:val="001A1254"/>
    <w:rsid w:val="001A31E7"/>
    <w:rsid w:val="001A513E"/>
    <w:rsid w:val="001A608D"/>
    <w:rsid w:val="001A6B05"/>
    <w:rsid w:val="001B0AAA"/>
    <w:rsid w:val="001B354B"/>
    <w:rsid w:val="001C06C2"/>
    <w:rsid w:val="001C07F3"/>
    <w:rsid w:val="001C2A1A"/>
    <w:rsid w:val="001C6041"/>
    <w:rsid w:val="001C7933"/>
    <w:rsid w:val="001D0DA0"/>
    <w:rsid w:val="001D1418"/>
    <w:rsid w:val="001D14DD"/>
    <w:rsid w:val="001D236E"/>
    <w:rsid w:val="001D67D2"/>
    <w:rsid w:val="001D6B36"/>
    <w:rsid w:val="001D7D14"/>
    <w:rsid w:val="001E19BF"/>
    <w:rsid w:val="001E2391"/>
    <w:rsid w:val="001E3AF0"/>
    <w:rsid w:val="001E7511"/>
    <w:rsid w:val="001F1483"/>
    <w:rsid w:val="001F1E0A"/>
    <w:rsid w:val="001F30DC"/>
    <w:rsid w:val="001F551D"/>
    <w:rsid w:val="001F6165"/>
    <w:rsid w:val="001F7180"/>
    <w:rsid w:val="00200E7B"/>
    <w:rsid w:val="002010AE"/>
    <w:rsid w:val="002077B5"/>
    <w:rsid w:val="002110AD"/>
    <w:rsid w:val="002127BD"/>
    <w:rsid w:val="00215513"/>
    <w:rsid w:val="002218BD"/>
    <w:rsid w:val="00231328"/>
    <w:rsid w:val="0023319C"/>
    <w:rsid w:val="002346C0"/>
    <w:rsid w:val="00234ECD"/>
    <w:rsid w:val="00241975"/>
    <w:rsid w:val="00241E48"/>
    <w:rsid w:val="00242E6C"/>
    <w:rsid w:val="002475D7"/>
    <w:rsid w:val="00247ED8"/>
    <w:rsid w:val="0025007F"/>
    <w:rsid w:val="002504CD"/>
    <w:rsid w:val="00251B9C"/>
    <w:rsid w:val="002532F2"/>
    <w:rsid w:val="00253F9E"/>
    <w:rsid w:val="00260490"/>
    <w:rsid w:val="00260BF5"/>
    <w:rsid w:val="0026751B"/>
    <w:rsid w:val="002679A2"/>
    <w:rsid w:val="00270B24"/>
    <w:rsid w:val="0027130F"/>
    <w:rsid w:val="00272AE9"/>
    <w:rsid w:val="002759A4"/>
    <w:rsid w:val="002805B8"/>
    <w:rsid w:val="0028097D"/>
    <w:rsid w:val="002823F5"/>
    <w:rsid w:val="00284C98"/>
    <w:rsid w:val="00284DCA"/>
    <w:rsid w:val="0029601A"/>
    <w:rsid w:val="002A2759"/>
    <w:rsid w:val="002A52A0"/>
    <w:rsid w:val="002A5FAB"/>
    <w:rsid w:val="002B0BBB"/>
    <w:rsid w:val="002B4340"/>
    <w:rsid w:val="002B5C4E"/>
    <w:rsid w:val="002C1004"/>
    <w:rsid w:val="002C26D7"/>
    <w:rsid w:val="002C3335"/>
    <w:rsid w:val="002C3445"/>
    <w:rsid w:val="002D384D"/>
    <w:rsid w:val="002D3C27"/>
    <w:rsid w:val="002D4E8C"/>
    <w:rsid w:val="002D5685"/>
    <w:rsid w:val="002F0675"/>
    <w:rsid w:val="002F3047"/>
    <w:rsid w:val="002F65DB"/>
    <w:rsid w:val="00301C35"/>
    <w:rsid w:val="003023A7"/>
    <w:rsid w:val="00316A37"/>
    <w:rsid w:val="0032777E"/>
    <w:rsid w:val="003300BC"/>
    <w:rsid w:val="00330F7B"/>
    <w:rsid w:val="0033229E"/>
    <w:rsid w:val="0033255D"/>
    <w:rsid w:val="00337FF0"/>
    <w:rsid w:val="00342649"/>
    <w:rsid w:val="003438A6"/>
    <w:rsid w:val="0035176B"/>
    <w:rsid w:val="003519F6"/>
    <w:rsid w:val="003529B9"/>
    <w:rsid w:val="00360BD2"/>
    <w:rsid w:val="003624F6"/>
    <w:rsid w:val="00363492"/>
    <w:rsid w:val="003639E1"/>
    <w:rsid w:val="0036534E"/>
    <w:rsid w:val="00372CB7"/>
    <w:rsid w:val="003802BA"/>
    <w:rsid w:val="00380AB0"/>
    <w:rsid w:val="00381B33"/>
    <w:rsid w:val="0038255F"/>
    <w:rsid w:val="00382D05"/>
    <w:rsid w:val="00383F8B"/>
    <w:rsid w:val="00387D81"/>
    <w:rsid w:val="00391541"/>
    <w:rsid w:val="003917EF"/>
    <w:rsid w:val="00394D42"/>
    <w:rsid w:val="00394E61"/>
    <w:rsid w:val="003A1CD0"/>
    <w:rsid w:val="003A36A3"/>
    <w:rsid w:val="003A3708"/>
    <w:rsid w:val="003B23C1"/>
    <w:rsid w:val="003B257E"/>
    <w:rsid w:val="003B3239"/>
    <w:rsid w:val="003B6673"/>
    <w:rsid w:val="003C00D7"/>
    <w:rsid w:val="003C219F"/>
    <w:rsid w:val="003C2D96"/>
    <w:rsid w:val="003C4409"/>
    <w:rsid w:val="003C57C5"/>
    <w:rsid w:val="003D5728"/>
    <w:rsid w:val="003E03D6"/>
    <w:rsid w:val="003E4493"/>
    <w:rsid w:val="003E4BD4"/>
    <w:rsid w:val="003F3BDD"/>
    <w:rsid w:val="003F6ECE"/>
    <w:rsid w:val="004006B3"/>
    <w:rsid w:val="00401F15"/>
    <w:rsid w:val="00403A46"/>
    <w:rsid w:val="00404715"/>
    <w:rsid w:val="004113DD"/>
    <w:rsid w:val="0041191D"/>
    <w:rsid w:val="004173C7"/>
    <w:rsid w:val="00425EC0"/>
    <w:rsid w:val="00426BA1"/>
    <w:rsid w:val="004279B4"/>
    <w:rsid w:val="00431362"/>
    <w:rsid w:val="00433650"/>
    <w:rsid w:val="00436B16"/>
    <w:rsid w:val="00437921"/>
    <w:rsid w:val="00442DE1"/>
    <w:rsid w:val="00443236"/>
    <w:rsid w:val="0044378C"/>
    <w:rsid w:val="0044426E"/>
    <w:rsid w:val="004469DB"/>
    <w:rsid w:val="00447BE2"/>
    <w:rsid w:val="00453C26"/>
    <w:rsid w:val="004576FB"/>
    <w:rsid w:val="004602E7"/>
    <w:rsid w:val="004611D8"/>
    <w:rsid w:val="00462375"/>
    <w:rsid w:val="00464988"/>
    <w:rsid w:val="00464A5A"/>
    <w:rsid w:val="0046736F"/>
    <w:rsid w:val="00471615"/>
    <w:rsid w:val="004727EC"/>
    <w:rsid w:val="00472B77"/>
    <w:rsid w:val="00474AE1"/>
    <w:rsid w:val="00474B42"/>
    <w:rsid w:val="0047796B"/>
    <w:rsid w:val="00481C39"/>
    <w:rsid w:val="00483095"/>
    <w:rsid w:val="0048346C"/>
    <w:rsid w:val="004842D1"/>
    <w:rsid w:val="004850C3"/>
    <w:rsid w:val="004877B0"/>
    <w:rsid w:val="00487F02"/>
    <w:rsid w:val="00491F25"/>
    <w:rsid w:val="0049249C"/>
    <w:rsid w:val="00494181"/>
    <w:rsid w:val="004948B9"/>
    <w:rsid w:val="004955D5"/>
    <w:rsid w:val="00495BF7"/>
    <w:rsid w:val="004A2171"/>
    <w:rsid w:val="004A62ED"/>
    <w:rsid w:val="004A633F"/>
    <w:rsid w:val="004A6E62"/>
    <w:rsid w:val="004B3656"/>
    <w:rsid w:val="004C39CF"/>
    <w:rsid w:val="004D00C0"/>
    <w:rsid w:val="004D0531"/>
    <w:rsid w:val="004D17EF"/>
    <w:rsid w:val="004D1AB6"/>
    <w:rsid w:val="004E0E7E"/>
    <w:rsid w:val="004E2627"/>
    <w:rsid w:val="004E56C3"/>
    <w:rsid w:val="004F05DC"/>
    <w:rsid w:val="004F4B8A"/>
    <w:rsid w:val="004F726C"/>
    <w:rsid w:val="004F7E8A"/>
    <w:rsid w:val="00504236"/>
    <w:rsid w:val="00505B8C"/>
    <w:rsid w:val="0050667E"/>
    <w:rsid w:val="00506683"/>
    <w:rsid w:val="00516CBA"/>
    <w:rsid w:val="005179EC"/>
    <w:rsid w:val="00523BE6"/>
    <w:rsid w:val="00524ED7"/>
    <w:rsid w:val="005305CA"/>
    <w:rsid w:val="00530804"/>
    <w:rsid w:val="00541532"/>
    <w:rsid w:val="005428CA"/>
    <w:rsid w:val="00544816"/>
    <w:rsid w:val="00546715"/>
    <w:rsid w:val="0054762B"/>
    <w:rsid w:val="00550E0E"/>
    <w:rsid w:val="0055110E"/>
    <w:rsid w:val="00552EB7"/>
    <w:rsid w:val="005613DC"/>
    <w:rsid w:val="00563D17"/>
    <w:rsid w:val="00572201"/>
    <w:rsid w:val="0057295A"/>
    <w:rsid w:val="005729C8"/>
    <w:rsid w:val="005803B1"/>
    <w:rsid w:val="005804A2"/>
    <w:rsid w:val="00585D04"/>
    <w:rsid w:val="005900EF"/>
    <w:rsid w:val="005959E1"/>
    <w:rsid w:val="00595C1D"/>
    <w:rsid w:val="0059779C"/>
    <w:rsid w:val="005A5A3F"/>
    <w:rsid w:val="005A6FAF"/>
    <w:rsid w:val="005B055A"/>
    <w:rsid w:val="005B4BF2"/>
    <w:rsid w:val="005C50C1"/>
    <w:rsid w:val="005C537C"/>
    <w:rsid w:val="005D2848"/>
    <w:rsid w:val="005D37C1"/>
    <w:rsid w:val="005D6B82"/>
    <w:rsid w:val="005E0BEF"/>
    <w:rsid w:val="005E2D73"/>
    <w:rsid w:val="005E2EDB"/>
    <w:rsid w:val="005E6446"/>
    <w:rsid w:val="005E6A43"/>
    <w:rsid w:val="005E6C3A"/>
    <w:rsid w:val="005F20D2"/>
    <w:rsid w:val="005F41E0"/>
    <w:rsid w:val="0060186D"/>
    <w:rsid w:val="006049AB"/>
    <w:rsid w:val="00607A2D"/>
    <w:rsid w:val="00610CFC"/>
    <w:rsid w:val="00614474"/>
    <w:rsid w:val="00615897"/>
    <w:rsid w:val="00616EE1"/>
    <w:rsid w:val="0062063B"/>
    <w:rsid w:val="006222A8"/>
    <w:rsid w:val="00625097"/>
    <w:rsid w:val="0063402F"/>
    <w:rsid w:val="00642918"/>
    <w:rsid w:val="00642CB6"/>
    <w:rsid w:val="00646E92"/>
    <w:rsid w:val="00647AC3"/>
    <w:rsid w:val="006524BD"/>
    <w:rsid w:val="00652B20"/>
    <w:rsid w:val="006540B3"/>
    <w:rsid w:val="00661871"/>
    <w:rsid w:val="00662BA6"/>
    <w:rsid w:val="0066413B"/>
    <w:rsid w:val="0066745B"/>
    <w:rsid w:val="00667B49"/>
    <w:rsid w:val="00672C69"/>
    <w:rsid w:val="00672D21"/>
    <w:rsid w:val="00673668"/>
    <w:rsid w:val="00674CEB"/>
    <w:rsid w:val="00676478"/>
    <w:rsid w:val="006839CA"/>
    <w:rsid w:val="00684ABB"/>
    <w:rsid w:val="00687981"/>
    <w:rsid w:val="006913F9"/>
    <w:rsid w:val="00691617"/>
    <w:rsid w:val="00691F9E"/>
    <w:rsid w:val="00692D30"/>
    <w:rsid w:val="0069444F"/>
    <w:rsid w:val="006960B3"/>
    <w:rsid w:val="006961A0"/>
    <w:rsid w:val="006A1B6C"/>
    <w:rsid w:val="006A3A39"/>
    <w:rsid w:val="006A4881"/>
    <w:rsid w:val="006A5872"/>
    <w:rsid w:val="006A78D3"/>
    <w:rsid w:val="006A7CA1"/>
    <w:rsid w:val="006A7FEA"/>
    <w:rsid w:val="006B0386"/>
    <w:rsid w:val="006B182E"/>
    <w:rsid w:val="006B2423"/>
    <w:rsid w:val="006B25A1"/>
    <w:rsid w:val="006B297D"/>
    <w:rsid w:val="006B48FE"/>
    <w:rsid w:val="006B74EA"/>
    <w:rsid w:val="006C1EEE"/>
    <w:rsid w:val="006C6979"/>
    <w:rsid w:val="006C7A07"/>
    <w:rsid w:val="006C7D92"/>
    <w:rsid w:val="006D08BF"/>
    <w:rsid w:val="006D2134"/>
    <w:rsid w:val="006D67D0"/>
    <w:rsid w:val="006E0251"/>
    <w:rsid w:val="006E0DDC"/>
    <w:rsid w:val="006E117A"/>
    <w:rsid w:val="006E2691"/>
    <w:rsid w:val="006E7A1B"/>
    <w:rsid w:val="006F5237"/>
    <w:rsid w:val="007028F6"/>
    <w:rsid w:val="007030FE"/>
    <w:rsid w:val="00705C12"/>
    <w:rsid w:val="0070608A"/>
    <w:rsid w:val="0070676E"/>
    <w:rsid w:val="0071077F"/>
    <w:rsid w:val="0071096E"/>
    <w:rsid w:val="00711F55"/>
    <w:rsid w:val="0071245F"/>
    <w:rsid w:val="00712D59"/>
    <w:rsid w:val="00712FB6"/>
    <w:rsid w:val="00714A0B"/>
    <w:rsid w:val="00714CDF"/>
    <w:rsid w:val="00720EE9"/>
    <w:rsid w:val="007319EF"/>
    <w:rsid w:val="00732518"/>
    <w:rsid w:val="007403EB"/>
    <w:rsid w:val="00740666"/>
    <w:rsid w:val="00741EED"/>
    <w:rsid w:val="00744341"/>
    <w:rsid w:val="0074508E"/>
    <w:rsid w:val="00747877"/>
    <w:rsid w:val="00753CAB"/>
    <w:rsid w:val="00754348"/>
    <w:rsid w:val="0076348A"/>
    <w:rsid w:val="00764EBD"/>
    <w:rsid w:val="00767FE5"/>
    <w:rsid w:val="00771E3F"/>
    <w:rsid w:val="0077307E"/>
    <w:rsid w:val="0077594B"/>
    <w:rsid w:val="007763A9"/>
    <w:rsid w:val="007766E1"/>
    <w:rsid w:val="00776A17"/>
    <w:rsid w:val="00781350"/>
    <w:rsid w:val="00787A28"/>
    <w:rsid w:val="00790F44"/>
    <w:rsid w:val="007951D6"/>
    <w:rsid w:val="007A1170"/>
    <w:rsid w:val="007A1833"/>
    <w:rsid w:val="007A2224"/>
    <w:rsid w:val="007A4699"/>
    <w:rsid w:val="007A6230"/>
    <w:rsid w:val="007A7BC4"/>
    <w:rsid w:val="007B2E44"/>
    <w:rsid w:val="007B54CF"/>
    <w:rsid w:val="007B6896"/>
    <w:rsid w:val="007C1962"/>
    <w:rsid w:val="007C2FBE"/>
    <w:rsid w:val="007D065C"/>
    <w:rsid w:val="007D076A"/>
    <w:rsid w:val="007D0828"/>
    <w:rsid w:val="007D16F5"/>
    <w:rsid w:val="007D1E19"/>
    <w:rsid w:val="007D20A8"/>
    <w:rsid w:val="007D28BB"/>
    <w:rsid w:val="007D455C"/>
    <w:rsid w:val="007D4C52"/>
    <w:rsid w:val="007D5C5A"/>
    <w:rsid w:val="007E0594"/>
    <w:rsid w:val="007E50BE"/>
    <w:rsid w:val="007E6F08"/>
    <w:rsid w:val="007E71D6"/>
    <w:rsid w:val="007E7A5A"/>
    <w:rsid w:val="007E7C0C"/>
    <w:rsid w:val="007F080C"/>
    <w:rsid w:val="007F20B1"/>
    <w:rsid w:val="007F24A4"/>
    <w:rsid w:val="007F4634"/>
    <w:rsid w:val="007F57F3"/>
    <w:rsid w:val="007F7277"/>
    <w:rsid w:val="007F7DC7"/>
    <w:rsid w:val="00802FDD"/>
    <w:rsid w:val="0081547F"/>
    <w:rsid w:val="00815F3F"/>
    <w:rsid w:val="0081693A"/>
    <w:rsid w:val="00821F4F"/>
    <w:rsid w:val="00822040"/>
    <w:rsid w:val="00823508"/>
    <w:rsid w:val="00827B54"/>
    <w:rsid w:val="00827DD9"/>
    <w:rsid w:val="00831C7A"/>
    <w:rsid w:val="00831D1D"/>
    <w:rsid w:val="00833C45"/>
    <w:rsid w:val="008344A7"/>
    <w:rsid w:val="00834DB8"/>
    <w:rsid w:val="00840518"/>
    <w:rsid w:val="00842590"/>
    <w:rsid w:val="00843642"/>
    <w:rsid w:val="00850715"/>
    <w:rsid w:val="00851A79"/>
    <w:rsid w:val="00854418"/>
    <w:rsid w:val="00854AFC"/>
    <w:rsid w:val="00860661"/>
    <w:rsid w:val="00861202"/>
    <w:rsid w:val="00863C19"/>
    <w:rsid w:val="00871AE9"/>
    <w:rsid w:val="00872BFC"/>
    <w:rsid w:val="008750E4"/>
    <w:rsid w:val="00876F94"/>
    <w:rsid w:val="008774AE"/>
    <w:rsid w:val="00883913"/>
    <w:rsid w:val="0088570B"/>
    <w:rsid w:val="00885826"/>
    <w:rsid w:val="00886654"/>
    <w:rsid w:val="00890EAA"/>
    <w:rsid w:val="008A2AA1"/>
    <w:rsid w:val="008A6629"/>
    <w:rsid w:val="008A7784"/>
    <w:rsid w:val="008B0240"/>
    <w:rsid w:val="008B112A"/>
    <w:rsid w:val="008B1B60"/>
    <w:rsid w:val="008B211C"/>
    <w:rsid w:val="008B398F"/>
    <w:rsid w:val="008B4901"/>
    <w:rsid w:val="008B4F8B"/>
    <w:rsid w:val="008B6E94"/>
    <w:rsid w:val="008C5BFC"/>
    <w:rsid w:val="008D17FD"/>
    <w:rsid w:val="008D1EC8"/>
    <w:rsid w:val="008D3013"/>
    <w:rsid w:val="008D751C"/>
    <w:rsid w:val="008D7D6A"/>
    <w:rsid w:val="008E3D9A"/>
    <w:rsid w:val="008E582B"/>
    <w:rsid w:val="008F2649"/>
    <w:rsid w:val="008F4F18"/>
    <w:rsid w:val="008F77CF"/>
    <w:rsid w:val="00903325"/>
    <w:rsid w:val="00905944"/>
    <w:rsid w:val="009064A0"/>
    <w:rsid w:val="00911B02"/>
    <w:rsid w:val="00913B1B"/>
    <w:rsid w:val="00914784"/>
    <w:rsid w:val="00917347"/>
    <w:rsid w:val="00917828"/>
    <w:rsid w:val="00920006"/>
    <w:rsid w:val="009228EB"/>
    <w:rsid w:val="00925A5D"/>
    <w:rsid w:val="0093159D"/>
    <w:rsid w:val="0093730A"/>
    <w:rsid w:val="0093753A"/>
    <w:rsid w:val="00943114"/>
    <w:rsid w:val="0094462D"/>
    <w:rsid w:val="00952201"/>
    <w:rsid w:val="0095360E"/>
    <w:rsid w:val="00956E51"/>
    <w:rsid w:val="009572C2"/>
    <w:rsid w:val="0096000E"/>
    <w:rsid w:val="00962690"/>
    <w:rsid w:val="00965902"/>
    <w:rsid w:val="00966A53"/>
    <w:rsid w:val="00966DBF"/>
    <w:rsid w:val="00966FD4"/>
    <w:rsid w:val="009700D0"/>
    <w:rsid w:val="00971A69"/>
    <w:rsid w:val="0097244F"/>
    <w:rsid w:val="00972475"/>
    <w:rsid w:val="009729E0"/>
    <w:rsid w:val="00974290"/>
    <w:rsid w:val="00980671"/>
    <w:rsid w:val="00985F3E"/>
    <w:rsid w:val="00986CDC"/>
    <w:rsid w:val="009878EE"/>
    <w:rsid w:val="009927FE"/>
    <w:rsid w:val="0099691E"/>
    <w:rsid w:val="00997588"/>
    <w:rsid w:val="009A1B84"/>
    <w:rsid w:val="009A52C9"/>
    <w:rsid w:val="009A6FD1"/>
    <w:rsid w:val="009B2DEA"/>
    <w:rsid w:val="009B35E4"/>
    <w:rsid w:val="009B383C"/>
    <w:rsid w:val="009B79F6"/>
    <w:rsid w:val="009C0AAC"/>
    <w:rsid w:val="009C1423"/>
    <w:rsid w:val="009C4FAF"/>
    <w:rsid w:val="009C5441"/>
    <w:rsid w:val="009C5475"/>
    <w:rsid w:val="009D220E"/>
    <w:rsid w:val="009D795D"/>
    <w:rsid w:val="009E1DA5"/>
    <w:rsid w:val="009E7EBD"/>
    <w:rsid w:val="00A00863"/>
    <w:rsid w:val="00A00FD7"/>
    <w:rsid w:val="00A017EB"/>
    <w:rsid w:val="00A02E2E"/>
    <w:rsid w:val="00A030CF"/>
    <w:rsid w:val="00A04238"/>
    <w:rsid w:val="00A04594"/>
    <w:rsid w:val="00A04849"/>
    <w:rsid w:val="00A1147B"/>
    <w:rsid w:val="00A11831"/>
    <w:rsid w:val="00A20EEB"/>
    <w:rsid w:val="00A25268"/>
    <w:rsid w:val="00A2722C"/>
    <w:rsid w:val="00A30488"/>
    <w:rsid w:val="00A42A38"/>
    <w:rsid w:val="00A45B3A"/>
    <w:rsid w:val="00A476E4"/>
    <w:rsid w:val="00A56310"/>
    <w:rsid w:val="00A56AB3"/>
    <w:rsid w:val="00A60652"/>
    <w:rsid w:val="00A64380"/>
    <w:rsid w:val="00A65BED"/>
    <w:rsid w:val="00A667D9"/>
    <w:rsid w:val="00A70680"/>
    <w:rsid w:val="00A727F4"/>
    <w:rsid w:val="00A75313"/>
    <w:rsid w:val="00A75638"/>
    <w:rsid w:val="00A76B9E"/>
    <w:rsid w:val="00A7755F"/>
    <w:rsid w:val="00A7760E"/>
    <w:rsid w:val="00A80911"/>
    <w:rsid w:val="00A84817"/>
    <w:rsid w:val="00A84FD2"/>
    <w:rsid w:val="00A87344"/>
    <w:rsid w:val="00A912DD"/>
    <w:rsid w:val="00A937AB"/>
    <w:rsid w:val="00A9391F"/>
    <w:rsid w:val="00A95595"/>
    <w:rsid w:val="00A96095"/>
    <w:rsid w:val="00A96145"/>
    <w:rsid w:val="00A967C0"/>
    <w:rsid w:val="00A97F4F"/>
    <w:rsid w:val="00AA18E8"/>
    <w:rsid w:val="00AA41EA"/>
    <w:rsid w:val="00AA5CAC"/>
    <w:rsid w:val="00AB0702"/>
    <w:rsid w:val="00AB233C"/>
    <w:rsid w:val="00AB23E3"/>
    <w:rsid w:val="00AB5A6A"/>
    <w:rsid w:val="00AB7C0F"/>
    <w:rsid w:val="00AB7D81"/>
    <w:rsid w:val="00AC1D2F"/>
    <w:rsid w:val="00AD2042"/>
    <w:rsid w:val="00AD2CAE"/>
    <w:rsid w:val="00AE546D"/>
    <w:rsid w:val="00AE6394"/>
    <w:rsid w:val="00AF4C14"/>
    <w:rsid w:val="00AF4F61"/>
    <w:rsid w:val="00B02E52"/>
    <w:rsid w:val="00B04B41"/>
    <w:rsid w:val="00B06630"/>
    <w:rsid w:val="00B0722E"/>
    <w:rsid w:val="00B117F6"/>
    <w:rsid w:val="00B11E62"/>
    <w:rsid w:val="00B1705A"/>
    <w:rsid w:val="00B23CAC"/>
    <w:rsid w:val="00B263FD"/>
    <w:rsid w:val="00B302BB"/>
    <w:rsid w:val="00B33D81"/>
    <w:rsid w:val="00B46B5E"/>
    <w:rsid w:val="00B57276"/>
    <w:rsid w:val="00B573C4"/>
    <w:rsid w:val="00B6154C"/>
    <w:rsid w:val="00B63AB7"/>
    <w:rsid w:val="00B70809"/>
    <w:rsid w:val="00B72BA5"/>
    <w:rsid w:val="00B72D5E"/>
    <w:rsid w:val="00B74E2D"/>
    <w:rsid w:val="00B8015C"/>
    <w:rsid w:val="00B83295"/>
    <w:rsid w:val="00B85AFA"/>
    <w:rsid w:val="00B90628"/>
    <w:rsid w:val="00B909FB"/>
    <w:rsid w:val="00B949E0"/>
    <w:rsid w:val="00B95B8F"/>
    <w:rsid w:val="00B9704A"/>
    <w:rsid w:val="00BA3009"/>
    <w:rsid w:val="00BA3D2D"/>
    <w:rsid w:val="00BB05E2"/>
    <w:rsid w:val="00BB1CDB"/>
    <w:rsid w:val="00BB7958"/>
    <w:rsid w:val="00BC3DA3"/>
    <w:rsid w:val="00BC4B61"/>
    <w:rsid w:val="00BC761A"/>
    <w:rsid w:val="00BD1C27"/>
    <w:rsid w:val="00BD2AD9"/>
    <w:rsid w:val="00BD5F69"/>
    <w:rsid w:val="00BD6A00"/>
    <w:rsid w:val="00BE1618"/>
    <w:rsid w:val="00BE1632"/>
    <w:rsid w:val="00BE3F71"/>
    <w:rsid w:val="00BF127D"/>
    <w:rsid w:val="00BF5883"/>
    <w:rsid w:val="00BF5B83"/>
    <w:rsid w:val="00C01EA5"/>
    <w:rsid w:val="00C03F42"/>
    <w:rsid w:val="00C100E4"/>
    <w:rsid w:val="00C1062E"/>
    <w:rsid w:val="00C13BCB"/>
    <w:rsid w:val="00C14329"/>
    <w:rsid w:val="00C16197"/>
    <w:rsid w:val="00C17647"/>
    <w:rsid w:val="00C17B9B"/>
    <w:rsid w:val="00C22907"/>
    <w:rsid w:val="00C24681"/>
    <w:rsid w:val="00C26A65"/>
    <w:rsid w:val="00C26D84"/>
    <w:rsid w:val="00C31021"/>
    <w:rsid w:val="00C34232"/>
    <w:rsid w:val="00C378D2"/>
    <w:rsid w:val="00C40C56"/>
    <w:rsid w:val="00C41B85"/>
    <w:rsid w:val="00C41DDF"/>
    <w:rsid w:val="00C47F88"/>
    <w:rsid w:val="00C522CA"/>
    <w:rsid w:val="00C74519"/>
    <w:rsid w:val="00C84976"/>
    <w:rsid w:val="00C94D32"/>
    <w:rsid w:val="00C95381"/>
    <w:rsid w:val="00C97A19"/>
    <w:rsid w:val="00CA021B"/>
    <w:rsid w:val="00CA4099"/>
    <w:rsid w:val="00CA5CE8"/>
    <w:rsid w:val="00CB08CD"/>
    <w:rsid w:val="00CB4330"/>
    <w:rsid w:val="00CB4EEB"/>
    <w:rsid w:val="00CB6C12"/>
    <w:rsid w:val="00CC131A"/>
    <w:rsid w:val="00CC45F8"/>
    <w:rsid w:val="00CC5279"/>
    <w:rsid w:val="00CD1CA3"/>
    <w:rsid w:val="00CD299D"/>
    <w:rsid w:val="00CE0BF4"/>
    <w:rsid w:val="00CE1AE5"/>
    <w:rsid w:val="00CE3C0B"/>
    <w:rsid w:val="00CE4A6A"/>
    <w:rsid w:val="00CE60D2"/>
    <w:rsid w:val="00CE6F3D"/>
    <w:rsid w:val="00CF0A3F"/>
    <w:rsid w:val="00CF5D3C"/>
    <w:rsid w:val="00CF7F35"/>
    <w:rsid w:val="00D0444F"/>
    <w:rsid w:val="00D117CF"/>
    <w:rsid w:val="00D14293"/>
    <w:rsid w:val="00D155BF"/>
    <w:rsid w:val="00D159F1"/>
    <w:rsid w:val="00D1792D"/>
    <w:rsid w:val="00D20B63"/>
    <w:rsid w:val="00D25FCE"/>
    <w:rsid w:val="00D307E5"/>
    <w:rsid w:val="00D3241E"/>
    <w:rsid w:val="00D333F1"/>
    <w:rsid w:val="00D3476E"/>
    <w:rsid w:val="00D347F2"/>
    <w:rsid w:val="00D351AF"/>
    <w:rsid w:val="00D36236"/>
    <w:rsid w:val="00D363F6"/>
    <w:rsid w:val="00D40087"/>
    <w:rsid w:val="00D41BF5"/>
    <w:rsid w:val="00D42C71"/>
    <w:rsid w:val="00D451E4"/>
    <w:rsid w:val="00D465D6"/>
    <w:rsid w:val="00D50DE3"/>
    <w:rsid w:val="00D55E84"/>
    <w:rsid w:val="00D65D6D"/>
    <w:rsid w:val="00D671B0"/>
    <w:rsid w:val="00D707D4"/>
    <w:rsid w:val="00D71CE1"/>
    <w:rsid w:val="00D7415B"/>
    <w:rsid w:val="00D76D00"/>
    <w:rsid w:val="00D803F1"/>
    <w:rsid w:val="00D81121"/>
    <w:rsid w:val="00D81521"/>
    <w:rsid w:val="00D824CA"/>
    <w:rsid w:val="00D84CAA"/>
    <w:rsid w:val="00D869DB"/>
    <w:rsid w:val="00D90D1C"/>
    <w:rsid w:val="00D92E3B"/>
    <w:rsid w:val="00D93EF5"/>
    <w:rsid w:val="00D946E4"/>
    <w:rsid w:val="00D94AA8"/>
    <w:rsid w:val="00D954D5"/>
    <w:rsid w:val="00D96241"/>
    <w:rsid w:val="00DA001D"/>
    <w:rsid w:val="00DA0E28"/>
    <w:rsid w:val="00DA2854"/>
    <w:rsid w:val="00DB1DED"/>
    <w:rsid w:val="00DB2402"/>
    <w:rsid w:val="00DB5661"/>
    <w:rsid w:val="00DB7945"/>
    <w:rsid w:val="00DC2402"/>
    <w:rsid w:val="00DC7390"/>
    <w:rsid w:val="00DD0EC7"/>
    <w:rsid w:val="00DD6028"/>
    <w:rsid w:val="00DD6C27"/>
    <w:rsid w:val="00DD7A88"/>
    <w:rsid w:val="00DE08EB"/>
    <w:rsid w:val="00DE347B"/>
    <w:rsid w:val="00DE4C30"/>
    <w:rsid w:val="00DE5F22"/>
    <w:rsid w:val="00DE6135"/>
    <w:rsid w:val="00DE6A5D"/>
    <w:rsid w:val="00DE6D5E"/>
    <w:rsid w:val="00DF34D4"/>
    <w:rsid w:val="00E0062A"/>
    <w:rsid w:val="00E03F05"/>
    <w:rsid w:val="00E11144"/>
    <w:rsid w:val="00E11EEC"/>
    <w:rsid w:val="00E15C29"/>
    <w:rsid w:val="00E15D67"/>
    <w:rsid w:val="00E15F88"/>
    <w:rsid w:val="00E22B78"/>
    <w:rsid w:val="00E231D1"/>
    <w:rsid w:val="00E26D6A"/>
    <w:rsid w:val="00E30E03"/>
    <w:rsid w:val="00E32D51"/>
    <w:rsid w:val="00E338A7"/>
    <w:rsid w:val="00E3455C"/>
    <w:rsid w:val="00E42318"/>
    <w:rsid w:val="00E42C26"/>
    <w:rsid w:val="00E43233"/>
    <w:rsid w:val="00E45D5E"/>
    <w:rsid w:val="00E525AF"/>
    <w:rsid w:val="00E542CC"/>
    <w:rsid w:val="00E54A8B"/>
    <w:rsid w:val="00E57A71"/>
    <w:rsid w:val="00E63992"/>
    <w:rsid w:val="00E71B09"/>
    <w:rsid w:val="00E723D7"/>
    <w:rsid w:val="00E74092"/>
    <w:rsid w:val="00E75F29"/>
    <w:rsid w:val="00E77C75"/>
    <w:rsid w:val="00E82923"/>
    <w:rsid w:val="00E84567"/>
    <w:rsid w:val="00E8772A"/>
    <w:rsid w:val="00E87FC3"/>
    <w:rsid w:val="00E95BCA"/>
    <w:rsid w:val="00E97A26"/>
    <w:rsid w:val="00E97A58"/>
    <w:rsid w:val="00EA4D0A"/>
    <w:rsid w:val="00EA6445"/>
    <w:rsid w:val="00EB1D6E"/>
    <w:rsid w:val="00EB2C17"/>
    <w:rsid w:val="00EB407E"/>
    <w:rsid w:val="00EB6F8F"/>
    <w:rsid w:val="00EB7B2D"/>
    <w:rsid w:val="00EC1967"/>
    <w:rsid w:val="00EC7E9F"/>
    <w:rsid w:val="00ED2188"/>
    <w:rsid w:val="00ED23C9"/>
    <w:rsid w:val="00ED5903"/>
    <w:rsid w:val="00EE010F"/>
    <w:rsid w:val="00EE2184"/>
    <w:rsid w:val="00EE281A"/>
    <w:rsid w:val="00EE396E"/>
    <w:rsid w:val="00EE48D4"/>
    <w:rsid w:val="00EE51C8"/>
    <w:rsid w:val="00EF18FB"/>
    <w:rsid w:val="00EF22D2"/>
    <w:rsid w:val="00EF66C3"/>
    <w:rsid w:val="00F00B48"/>
    <w:rsid w:val="00F03B67"/>
    <w:rsid w:val="00F07C6B"/>
    <w:rsid w:val="00F11F4E"/>
    <w:rsid w:val="00F136B4"/>
    <w:rsid w:val="00F13BEB"/>
    <w:rsid w:val="00F1500B"/>
    <w:rsid w:val="00F2265F"/>
    <w:rsid w:val="00F2290D"/>
    <w:rsid w:val="00F230E6"/>
    <w:rsid w:val="00F2460C"/>
    <w:rsid w:val="00F25AEB"/>
    <w:rsid w:val="00F3579D"/>
    <w:rsid w:val="00F40FD6"/>
    <w:rsid w:val="00F45AC7"/>
    <w:rsid w:val="00F50CF4"/>
    <w:rsid w:val="00F57817"/>
    <w:rsid w:val="00F61F1C"/>
    <w:rsid w:val="00F62B3E"/>
    <w:rsid w:val="00F63DE3"/>
    <w:rsid w:val="00F65448"/>
    <w:rsid w:val="00F655E3"/>
    <w:rsid w:val="00F70109"/>
    <w:rsid w:val="00F72292"/>
    <w:rsid w:val="00F72C59"/>
    <w:rsid w:val="00F77959"/>
    <w:rsid w:val="00F779F7"/>
    <w:rsid w:val="00F90279"/>
    <w:rsid w:val="00F9114D"/>
    <w:rsid w:val="00F91CA9"/>
    <w:rsid w:val="00F92797"/>
    <w:rsid w:val="00F93455"/>
    <w:rsid w:val="00FA05F1"/>
    <w:rsid w:val="00FA108E"/>
    <w:rsid w:val="00FA38D9"/>
    <w:rsid w:val="00FA4A06"/>
    <w:rsid w:val="00FA76F1"/>
    <w:rsid w:val="00FB4579"/>
    <w:rsid w:val="00FB75EC"/>
    <w:rsid w:val="00FB7D31"/>
    <w:rsid w:val="00FC02FC"/>
    <w:rsid w:val="00FC27A2"/>
    <w:rsid w:val="00FC3665"/>
    <w:rsid w:val="00FC44B8"/>
    <w:rsid w:val="00FC5F49"/>
    <w:rsid w:val="00FC6DA4"/>
    <w:rsid w:val="00FD0BA4"/>
    <w:rsid w:val="00FD1B66"/>
    <w:rsid w:val="00FD3F87"/>
    <w:rsid w:val="00FF02D6"/>
    <w:rsid w:val="00FF32DB"/>
    <w:rsid w:val="00FF3D05"/>
    <w:rsid w:val="00FF75DE"/>
    <w:rsid w:val="00FF76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5E70EC3-238F-4244-866E-A295A17B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C0B"/>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rsid w:val="00F61F1C"/>
    <w:pPr>
      <w:keepNext/>
      <w:spacing w:before="240" w:after="60"/>
      <w:outlineLvl w:val="2"/>
    </w:pPr>
    <w:rPr>
      <w:rFonts w:ascii="Arial" w:hAnsi="Arial" w:cs="Arial"/>
      <w:b/>
      <w:bCs/>
      <w:sz w:val="26"/>
      <w:szCs w:val="26"/>
    </w:rPr>
  </w:style>
  <w:style w:type="paragraph" w:styleId="Heading4">
    <w:name w:val="heading 4"/>
    <w:basedOn w:val="Normal"/>
    <w:next w:val="Normal"/>
    <w:qFormat/>
    <w:rsid w:val="009D220E"/>
    <w:pPr>
      <w:keepNext/>
      <w:overflowPunct/>
      <w:autoSpaceDE/>
      <w:autoSpaceDN/>
      <w:adjustRightInd/>
      <w:textAlignment w:val="auto"/>
      <w:outlineLvl w:val="3"/>
    </w:pPr>
    <w:rPr>
      <w:rFonts w:ascii="Arial" w:hAnsi="Arial"/>
      <w:b/>
      <w:sz w:val="22"/>
      <w:szCs w:val="24"/>
    </w:rPr>
  </w:style>
  <w:style w:type="paragraph" w:styleId="Heading6">
    <w:name w:val="heading 6"/>
    <w:basedOn w:val="Normal"/>
    <w:next w:val="Normal"/>
    <w:qFormat/>
    <w:rsid w:val="00E338A7"/>
    <w:pPr>
      <w:spacing w:before="240" w:after="60"/>
      <w:outlineLvl w:val="5"/>
    </w:pPr>
    <w:rPr>
      <w:b/>
      <w:bCs/>
      <w:sz w:val="22"/>
      <w:szCs w:val="22"/>
    </w:rPr>
  </w:style>
  <w:style w:type="paragraph" w:styleId="Heading7">
    <w:name w:val="heading 7"/>
    <w:basedOn w:val="Normal"/>
    <w:next w:val="Normal"/>
    <w:qFormat/>
    <w:rsid w:val="00F61F1C"/>
    <w:pPr>
      <w:spacing w:before="240" w:after="60"/>
      <w:outlineLvl w:val="6"/>
    </w:pPr>
    <w:rPr>
      <w:szCs w:val="24"/>
    </w:rPr>
  </w:style>
  <w:style w:type="paragraph" w:styleId="Heading8">
    <w:name w:val="heading 8"/>
    <w:basedOn w:val="Normal"/>
    <w:next w:val="Normal"/>
    <w:qFormat/>
    <w:rsid w:val="009D220E"/>
    <w:pPr>
      <w:keepNext/>
      <w:overflowPunct/>
      <w:autoSpaceDE/>
      <w:autoSpaceDN/>
      <w:adjustRightInd/>
      <w:textAlignment w:val="auto"/>
      <w:outlineLvl w:val="7"/>
    </w:pPr>
    <w:rPr>
      <w:rFonts w:ascii="Arial" w:hAnsi="Arial"/>
      <w:b/>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Address">
    <w:name w:val="Dept Address"/>
    <w:basedOn w:val="Normal"/>
    <w:rPr>
      <w:b/>
      <w:noProof/>
      <w:sz w:val="20"/>
    </w:rPr>
  </w:style>
  <w:style w:type="paragraph" w:customStyle="1" w:styleId="DeptName">
    <w:name w:val="Dept Name"/>
    <w:basedOn w:val="Normal"/>
    <w:rPr>
      <w:rFonts w:ascii="Arial Black" w:hAnsi="Arial Black"/>
      <w:caps/>
      <w:noProof/>
      <w:sz w:val="25"/>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rPr>
      <w:b/>
    </w:rPr>
  </w:style>
  <w:style w:type="paragraph" w:customStyle="1" w:styleId="HEAD">
    <w:name w:val="HEAD"/>
    <w:basedOn w:val="Normal"/>
    <w:pPr>
      <w:jc w:val="center"/>
    </w:pPr>
    <w:rPr>
      <w:b/>
      <w:caps/>
    </w:rPr>
  </w:style>
  <w:style w:type="paragraph" w:styleId="ListBullet">
    <w:name w:val="List Bullet"/>
    <w:basedOn w:val="Normal"/>
    <w:autoRedefine/>
    <w:pPr>
      <w:numPr>
        <w:numId w:val="2"/>
      </w:numPr>
    </w:pPr>
  </w:style>
  <w:style w:type="paragraph" w:styleId="List">
    <w:name w:val="List"/>
    <w:basedOn w:val="Normal"/>
    <w:pPr>
      <w:ind w:left="283" w:hanging="283"/>
    </w:pPr>
  </w:style>
  <w:style w:type="paragraph" w:styleId="List2">
    <w:name w:val="List 2"/>
    <w:basedOn w:val="Normal"/>
    <w:pPr>
      <w:ind w:left="566" w:hanging="283"/>
    </w:pPr>
  </w:style>
  <w:style w:type="paragraph" w:styleId="BodyText">
    <w:name w:val="Body Text"/>
    <w:basedOn w:val="Normal"/>
    <w:link w:val="BodyTextChar"/>
    <w:pPr>
      <w:spacing w:after="120"/>
    </w:pPr>
  </w:style>
  <w:style w:type="paragraph" w:styleId="Subtitle">
    <w:name w:val="Subtitle"/>
    <w:basedOn w:val="Normal"/>
    <w:qFormat/>
    <w:pPr>
      <w:spacing w:after="60"/>
      <w:jc w:val="center"/>
      <w:outlineLvl w:val="1"/>
    </w:pPr>
    <w:rPr>
      <w:rFonts w:ascii="Arial" w:hAnsi="Arial" w:cs="Arial"/>
      <w:szCs w:val="24"/>
    </w:rPr>
  </w:style>
  <w:style w:type="character" w:styleId="PageNumber">
    <w:name w:val="page number"/>
    <w:basedOn w:val="DefaultParagraphFont"/>
    <w:rsid w:val="00D351AF"/>
  </w:style>
  <w:style w:type="paragraph" w:styleId="Title">
    <w:name w:val="Title"/>
    <w:basedOn w:val="Normal"/>
    <w:qFormat/>
    <w:rsid w:val="009D220E"/>
    <w:pPr>
      <w:overflowPunct/>
      <w:autoSpaceDE/>
      <w:autoSpaceDN/>
      <w:adjustRightInd/>
      <w:jc w:val="center"/>
      <w:textAlignment w:val="auto"/>
    </w:pPr>
    <w:rPr>
      <w:rFonts w:ascii="Arial" w:hAnsi="Arial"/>
      <w:b/>
      <w:color w:val="0000FF"/>
      <w:sz w:val="22"/>
      <w:szCs w:val="24"/>
    </w:rPr>
  </w:style>
  <w:style w:type="table" w:styleId="TableGrid">
    <w:name w:val="Table Grid"/>
    <w:basedOn w:val="TableNormal"/>
    <w:rsid w:val="00C17B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F61F1C"/>
    <w:pPr>
      <w:overflowPunct/>
      <w:autoSpaceDE/>
      <w:autoSpaceDN/>
      <w:adjustRightInd/>
      <w:ind w:left="2340" w:hanging="2340"/>
      <w:textAlignment w:val="auto"/>
    </w:pPr>
    <w:rPr>
      <w:rFonts w:ascii="Arial" w:hAnsi="Arial"/>
      <w:b/>
    </w:rPr>
  </w:style>
  <w:style w:type="paragraph" w:styleId="BodyText2">
    <w:name w:val="Body Text 2"/>
    <w:basedOn w:val="Normal"/>
    <w:rsid w:val="00F61F1C"/>
    <w:pPr>
      <w:overflowPunct/>
      <w:autoSpaceDE/>
      <w:autoSpaceDN/>
      <w:adjustRightInd/>
      <w:textAlignment w:val="auto"/>
    </w:pPr>
    <w:rPr>
      <w:rFonts w:ascii="Arial" w:hAnsi="Arial"/>
      <w:color w:val="FF0000"/>
      <w:sz w:val="22"/>
      <w:szCs w:val="24"/>
    </w:rPr>
  </w:style>
  <w:style w:type="character" w:styleId="Hyperlink">
    <w:name w:val="Hyperlink"/>
    <w:rsid w:val="00F61F1C"/>
    <w:rPr>
      <w:color w:val="0000FF"/>
      <w:u w:val="single"/>
    </w:rPr>
  </w:style>
  <w:style w:type="paragraph" w:customStyle="1" w:styleId="legclearfixlegp2container">
    <w:name w:val="legclearfix legp2container"/>
    <w:basedOn w:val="Normal"/>
    <w:rsid w:val="00F61F1C"/>
    <w:pPr>
      <w:overflowPunct/>
      <w:autoSpaceDE/>
      <w:autoSpaceDN/>
      <w:adjustRightInd/>
      <w:spacing w:before="100" w:beforeAutospacing="1" w:after="100" w:afterAutospacing="1"/>
      <w:textAlignment w:val="auto"/>
    </w:pPr>
    <w:rPr>
      <w:szCs w:val="24"/>
    </w:rPr>
  </w:style>
  <w:style w:type="character" w:customStyle="1" w:styleId="legdslegrhslegp2text">
    <w:name w:val="legds legrhs legp2text"/>
    <w:basedOn w:val="DefaultParagraphFont"/>
    <w:rsid w:val="00F61F1C"/>
  </w:style>
  <w:style w:type="paragraph" w:customStyle="1" w:styleId="Numbering">
    <w:name w:val="Numbering"/>
    <w:basedOn w:val="Normal"/>
    <w:rsid w:val="00F61F1C"/>
    <w:pPr>
      <w:ind w:left="454" w:hanging="454"/>
    </w:pPr>
  </w:style>
  <w:style w:type="character" w:styleId="FollowedHyperlink">
    <w:name w:val="FollowedHyperlink"/>
    <w:rsid w:val="00787A28"/>
    <w:rPr>
      <w:color w:val="800080"/>
      <w:u w:val="single"/>
    </w:rPr>
  </w:style>
  <w:style w:type="paragraph" w:styleId="ListParagraph">
    <w:name w:val="List Paragraph"/>
    <w:basedOn w:val="Normal"/>
    <w:uiPriority w:val="99"/>
    <w:qFormat/>
    <w:rsid w:val="00A00863"/>
    <w:pPr>
      <w:overflowPunct/>
      <w:autoSpaceDE/>
      <w:autoSpaceDN/>
      <w:adjustRightInd/>
      <w:ind w:left="720"/>
      <w:textAlignment w:val="auto"/>
    </w:pPr>
    <w:rPr>
      <w:rFonts w:ascii="Calibri" w:eastAsia="Calibri" w:hAnsi="Calibri" w:cs="Calibri"/>
      <w:sz w:val="22"/>
      <w:szCs w:val="22"/>
    </w:rPr>
  </w:style>
  <w:style w:type="paragraph" w:customStyle="1" w:styleId="ChapterHeading">
    <w:name w:val="Chapter Heading"/>
    <w:basedOn w:val="Normal"/>
    <w:uiPriority w:val="99"/>
    <w:semiHidden/>
    <w:rsid w:val="00084C87"/>
    <w:pPr>
      <w:pageBreakBefore/>
      <w:numPr>
        <w:numId w:val="5"/>
      </w:numPr>
      <w:overflowPunct/>
      <w:autoSpaceDE/>
      <w:autoSpaceDN/>
      <w:adjustRightInd/>
      <w:spacing w:before="120" w:after="120"/>
      <w:jc w:val="both"/>
      <w:textAlignment w:val="auto"/>
    </w:pPr>
    <w:rPr>
      <w:rFonts w:ascii="Calibri" w:hAnsi="Calibri" w:cs="Arial"/>
      <w:b/>
      <w:noProof/>
      <w:spacing w:val="-5"/>
      <w:sz w:val="36"/>
      <w:szCs w:val="36"/>
    </w:rPr>
  </w:style>
  <w:style w:type="paragraph" w:customStyle="1" w:styleId="Subheading">
    <w:name w:val="Subheading"/>
    <w:basedOn w:val="BodyText"/>
    <w:uiPriority w:val="99"/>
    <w:semiHidden/>
    <w:rsid w:val="00084C87"/>
    <w:pPr>
      <w:numPr>
        <w:ilvl w:val="1"/>
        <w:numId w:val="5"/>
      </w:numPr>
      <w:overflowPunct/>
      <w:autoSpaceDE/>
      <w:autoSpaceDN/>
      <w:adjustRightInd/>
      <w:spacing w:before="270" w:after="180"/>
      <w:jc w:val="both"/>
      <w:textAlignment w:val="auto"/>
    </w:pPr>
    <w:rPr>
      <w:rFonts w:ascii="Arial" w:hAnsi="Arial" w:cs="Arial"/>
      <w:b/>
      <w:noProof/>
      <w:sz w:val="22"/>
      <w:szCs w:val="22"/>
    </w:rPr>
  </w:style>
  <w:style w:type="paragraph" w:customStyle="1" w:styleId="subhead">
    <w:name w:val="subhead"/>
    <w:basedOn w:val="Subheading"/>
    <w:link w:val="subheadChar"/>
    <w:uiPriority w:val="99"/>
    <w:rsid w:val="00084C87"/>
  </w:style>
  <w:style w:type="character" w:customStyle="1" w:styleId="subheadChar">
    <w:name w:val="subhead Char"/>
    <w:link w:val="subhead"/>
    <w:uiPriority w:val="99"/>
    <w:locked/>
    <w:rsid w:val="00084C87"/>
    <w:rPr>
      <w:rFonts w:ascii="Arial" w:hAnsi="Arial" w:cs="Arial"/>
      <w:b/>
      <w:noProof/>
      <w:sz w:val="22"/>
      <w:szCs w:val="22"/>
      <w:lang w:eastAsia="en-US"/>
    </w:rPr>
  </w:style>
  <w:style w:type="paragraph" w:styleId="BalloonText">
    <w:name w:val="Balloon Text"/>
    <w:basedOn w:val="Normal"/>
    <w:link w:val="BalloonTextChar"/>
    <w:rsid w:val="00714A0B"/>
    <w:rPr>
      <w:rFonts w:ascii="Tahoma" w:hAnsi="Tahoma" w:cs="Tahoma"/>
      <w:sz w:val="16"/>
      <w:szCs w:val="16"/>
    </w:rPr>
  </w:style>
  <w:style w:type="character" w:customStyle="1" w:styleId="BalloonTextChar">
    <w:name w:val="Balloon Text Char"/>
    <w:link w:val="BalloonText"/>
    <w:rsid w:val="00714A0B"/>
    <w:rPr>
      <w:rFonts w:ascii="Tahoma" w:hAnsi="Tahoma" w:cs="Tahoma"/>
      <w:sz w:val="16"/>
      <w:szCs w:val="16"/>
      <w:lang w:eastAsia="en-US"/>
    </w:rPr>
  </w:style>
  <w:style w:type="character" w:customStyle="1" w:styleId="BodyTextChar">
    <w:name w:val="Body Text Char"/>
    <w:link w:val="BodyText"/>
    <w:rsid w:val="00391541"/>
    <w:rPr>
      <w:sz w:val="24"/>
      <w:lang w:eastAsia="en-US"/>
    </w:rPr>
  </w:style>
  <w:style w:type="paragraph" w:styleId="NormalWeb">
    <w:name w:val="Normal (Web)"/>
    <w:basedOn w:val="Normal"/>
    <w:uiPriority w:val="99"/>
    <w:unhideWhenUsed/>
    <w:rsid w:val="00714CDF"/>
    <w:pPr>
      <w:overflowPunct/>
      <w:autoSpaceDE/>
      <w:autoSpaceDN/>
      <w:adjustRightInd/>
      <w:spacing w:before="100" w:beforeAutospacing="1" w:after="100" w:afterAutospacing="1"/>
      <w:textAlignment w:val="auto"/>
    </w:pPr>
    <w:rPr>
      <w:szCs w:val="24"/>
      <w:lang w:eastAsia="en-GB"/>
    </w:rPr>
  </w:style>
  <w:style w:type="paragraph" w:customStyle="1" w:styleId="introduction">
    <w:name w:val="introduction"/>
    <w:basedOn w:val="Normal"/>
    <w:uiPriority w:val="99"/>
    <w:rsid w:val="00714CDF"/>
    <w:pPr>
      <w:overflowPunct/>
      <w:autoSpaceDE/>
      <w:autoSpaceDN/>
      <w:adjustRightInd/>
      <w:spacing w:before="100" w:beforeAutospacing="1" w:after="100" w:afterAutospacing="1"/>
      <w:textAlignment w:val="auto"/>
    </w:pPr>
    <w:rPr>
      <w:szCs w:val="24"/>
      <w:lang w:val="en-US"/>
    </w:rPr>
  </w:style>
  <w:style w:type="paragraph" w:customStyle="1" w:styleId="ab">
    <w:name w:val="(a)(b)"/>
    <w:basedOn w:val="Normal"/>
    <w:rsid w:val="00741EED"/>
    <w:pPr>
      <w:ind w:left="908" w:hanging="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47764">
      <w:bodyDiv w:val="1"/>
      <w:marLeft w:val="0"/>
      <w:marRight w:val="0"/>
      <w:marTop w:val="0"/>
      <w:marBottom w:val="0"/>
      <w:divBdr>
        <w:top w:val="none" w:sz="0" w:space="0" w:color="auto"/>
        <w:left w:val="none" w:sz="0" w:space="0" w:color="auto"/>
        <w:bottom w:val="none" w:sz="0" w:space="0" w:color="auto"/>
        <w:right w:val="none" w:sz="0" w:space="0" w:color="auto"/>
      </w:divBdr>
    </w:div>
    <w:div w:id="345791119">
      <w:bodyDiv w:val="1"/>
      <w:marLeft w:val="0"/>
      <w:marRight w:val="0"/>
      <w:marTop w:val="0"/>
      <w:marBottom w:val="0"/>
      <w:divBdr>
        <w:top w:val="none" w:sz="0" w:space="0" w:color="auto"/>
        <w:left w:val="none" w:sz="0" w:space="0" w:color="auto"/>
        <w:bottom w:val="none" w:sz="0" w:space="0" w:color="auto"/>
        <w:right w:val="none" w:sz="0" w:space="0" w:color="auto"/>
      </w:divBdr>
    </w:div>
    <w:div w:id="742726377">
      <w:bodyDiv w:val="1"/>
      <w:marLeft w:val="0"/>
      <w:marRight w:val="0"/>
      <w:marTop w:val="0"/>
      <w:marBottom w:val="0"/>
      <w:divBdr>
        <w:top w:val="none" w:sz="0" w:space="0" w:color="auto"/>
        <w:left w:val="none" w:sz="0" w:space="0" w:color="auto"/>
        <w:bottom w:val="none" w:sz="0" w:space="0" w:color="auto"/>
        <w:right w:val="none" w:sz="0" w:space="0" w:color="auto"/>
      </w:divBdr>
    </w:div>
    <w:div w:id="773131386">
      <w:bodyDiv w:val="1"/>
      <w:marLeft w:val="0"/>
      <w:marRight w:val="0"/>
      <w:marTop w:val="0"/>
      <w:marBottom w:val="0"/>
      <w:divBdr>
        <w:top w:val="none" w:sz="0" w:space="0" w:color="auto"/>
        <w:left w:val="none" w:sz="0" w:space="0" w:color="auto"/>
        <w:bottom w:val="none" w:sz="0" w:space="0" w:color="auto"/>
        <w:right w:val="none" w:sz="0" w:space="0" w:color="auto"/>
      </w:divBdr>
    </w:div>
    <w:div w:id="834685047">
      <w:bodyDiv w:val="1"/>
      <w:marLeft w:val="0"/>
      <w:marRight w:val="0"/>
      <w:marTop w:val="0"/>
      <w:marBottom w:val="0"/>
      <w:divBdr>
        <w:top w:val="none" w:sz="0" w:space="0" w:color="auto"/>
        <w:left w:val="none" w:sz="0" w:space="0" w:color="auto"/>
        <w:bottom w:val="none" w:sz="0" w:space="0" w:color="auto"/>
        <w:right w:val="none" w:sz="0" w:space="0" w:color="auto"/>
      </w:divBdr>
    </w:div>
    <w:div w:id="1152982552">
      <w:bodyDiv w:val="1"/>
      <w:marLeft w:val="0"/>
      <w:marRight w:val="0"/>
      <w:marTop w:val="0"/>
      <w:marBottom w:val="0"/>
      <w:divBdr>
        <w:top w:val="none" w:sz="0" w:space="0" w:color="auto"/>
        <w:left w:val="none" w:sz="0" w:space="0" w:color="auto"/>
        <w:bottom w:val="none" w:sz="0" w:space="0" w:color="auto"/>
        <w:right w:val="none" w:sz="0" w:space="0" w:color="auto"/>
      </w:divBdr>
    </w:div>
    <w:div w:id="1288314204">
      <w:bodyDiv w:val="1"/>
      <w:marLeft w:val="0"/>
      <w:marRight w:val="0"/>
      <w:marTop w:val="0"/>
      <w:marBottom w:val="0"/>
      <w:divBdr>
        <w:top w:val="none" w:sz="0" w:space="0" w:color="auto"/>
        <w:left w:val="none" w:sz="0" w:space="0" w:color="auto"/>
        <w:bottom w:val="none" w:sz="0" w:space="0" w:color="auto"/>
        <w:right w:val="none" w:sz="0" w:space="0" w:color="auto"/>
      </w:divBdr>
    </w:div>
    <w:div w:id="1340083622">
      <w:bodyDiv w:val="1"/>
      <w:marLeft w:val="0"/>
      <w:marRight w:val="0"/>
      <w:marTop w:val="0"/>
      <w:marBottom w:val="0"/>
      <w:divBdr>
        <w:top w:val="none" w:sz="0" w:space="0" w:color="auto"/>
        <w:left w:val="none" w:sz="0" w:space="0" w:color="auto"/>
        <w:bottom w:val="none" w:sz="0" w:space="0" w:color="auto"/>
        <w:right w:val="none" w:sz="0" w:space="0" w:color="auto"/>
      </w:divBdr>
    </w:div>
    <w:div w:id="1601451275">
      <w:bodyDiv w:val="1"/>
      <w:marLeft w:val="0"/>
      <w:marRight w:val="0"/>
      <w:marTop w:val="0"/>
      <w:marBottom w:val="0"/>
      <w:divBdr>
        <w:top w:val="none" w:sz="0" w:space="0" w:color="auto"/>
        <w:left w:val="none" w:sz="0" w:space="0" w:color="auto"/>
        <w:bottom w:val="none" w:sz="0" w:space="0" w:color="auto"/>
        <w:right w:val="none" w:sz="0" w:space="0" w:color="auto"/>
      </w:divBdr>
    </w:div>
    <w:div w:id="1621296795">
      <w:bodyDiv w:val="1"/>
      <w:marLeft w:val="0"/>
      <w:marRight w:val="0"/>
      <w:marTop w:val="0"/>
      <w:marBottom w:val="0"/>
      <w:divBdr>
        <w:top w:val="none" w:sz="0" w:space="0" w:color="auto"/>
        <w:left w:val="none" w:sz="0" w:space="0" w:color="auto"/>
        <w:bottom w:val="none" w:sz="0" w:space="0" w:color="auto"/>
        <w:right w:val="none" w:sz="0" w:space="0" w:color="auto"/>
      </w:divBdr>
    </w:div>
    <w:div w:id="1626697068">
      <w:bodyDiv w:val="1"/>
      <w:marLeft w:val="0"/>
      <w:marRight w:val="0"/>
      <w:marTop w:val="0"/>
      <w:marBottom w:val="0"/>
      <w:divBdr>
        <w:top w:val="none" w:sz="0" w:space="0" w:color="auto"/>
        <w:left w:val="none" w:sz="0" w:space="0" w:color="auto"/>
        <w:bottom w:val="none" w:sz="0" w:space="0" w:color="auto"/>
        <w:right w:val="none" w:sz="0" w:space="0" w:color="auto"/>
      </w:divBdr>
    </w:div>
    <w:div w:id="176799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7365A-D584-4C4D-8C08-976C8DA5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38</Pages>
  <Words>13144</Words>
  <Characters>68662</Characters>
  <Application>Microsoft Office Word</Application>
  <DocSecurity>0</DocSecurity>
  <Lines>572</Lines>
  <Paragraphs>163</Paragraphs>
  <ScaleCrop>false</ScaleCrop>
  <HeadingPairs>
    <vt:vector size="2" baseType="variant">
      <vt:variant>
        <vt:lpstr>Title</vt:lpstr>
      </vt:variant>
      <vt:variant>
        <vt:i4>1</vt:i4>
      </vt:variant>
    </vt:vector>
  </HeadingPairs>
  <TitlesOfParts>
    <vt:vector size="1" baseType="lpstr">
      <vt:lpstr>CABINET REPORT</vt:lpstr>
    </vt:vector>
  </TitlesOfParts>
  <Company>Xentrall Shared Services</Company>
  <LinksUpToDate>false</LinksUpToDate>
  <CharactersWithSpaces>81643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REPORT</dc:title>
  <dc:creator>Elaine Hufford</dc:creator>
  <cp:lastModifiedBy>Peter Carrick</cp:lastModifiedBy>
  <cp:revision>135</cp:revision>
  <cp:lastPrinted>2018-12-24T13:42:00Z</cp:lastPrinted>
  <dcterms:created xsi:type="dcterms:W3CDTF">2018-11-19T09:12:00Z</dcterms:created>
  <dcterms:modified xsi:type="dcterms:W3CDTF">2019-01-08T16:21:00Z</dcterms:modified>
</cp:coreProperties>
</file>